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FC47" w14:textId="77777777" w:rsidR="00D03181" w:rsidRPr="008D01ED" w:rsidRDefault="002C2F7F">
      <w:pPr>
        <w:pStyle w:val="Title"/>
        <w:spacing w:line="280" w:lineRule="exact"/>
        <w:rPr>
          <w:rFonts w:ascii="Arial" w:hAnsi="Arial" w:cs="Arial"/>
          <w:sz w:val="28"/>
          <w:szCs w:val="28"/>
        </w:rPr>
      </w:pPr>
      <w:r w:rsidRPr="008D01ED">
        <w:rPr>
          <w:rFonts w:ascii="Arial" w:hAnsi="Arial" w:cs="Arial"/>
          <w:sz w:val="28"/>
          <w:szCs w:val="28"/>
        </w:rPr>
        <w:t>Mobeus I</w:t>
      </w:r>
      <w:r w:rsidR="00933B80" w:rsidRPr="008D01ED">
        <w:rPr>
          <w:rFonts w:ascii="Arial" w:hAnsi="Arial" w:cs="Arial"/>
          <w:sz w:val="28"/>
          <w:szCs w:val="28"/>
        </w:rPr>
        <w:t xml:space="preserve">ncome &amp; Growth </w:t>
      </w:r>
      <w:r w:rsidR="0043631D" w:rsidRPr="008D01ED">
        <w:rPr>
          <w:rFonts w:ascii="Arial" w:hAnsi="Arial" w:cs="Arial"/>
          <w:sz w:val="28"/>
          <w:szCs w:val="28"/>
        </w:rPr>
        <w:t xml:space="preserve">VCT </w:t>
      </w:r>
      <w:r w:rsidR="00933B80" w:rsidRPr="008D01ED">
        <w:rPr>
          <w:rFonts w:ascii="Arial" w:hAnsi="Arial" w:cs="Arial"/>
          <w:sz w:val="28"/>
          <w:szCs w:val="28"/>
        </w:rPr>
        <w:t>plc</w:t>
      </w:r>
    </w:p>
    <w:p w14:paraId="72C01624" w14:textId="77777777" w:rsidR="00D03181" w:rsidRPr="008D01ED" w:rsidRDefault="00D03181">
      <w:pPr>
        <w:spacing w:line="280" w:lineRule="exact"/>
        <w:jc w:val="center"/>
        <w:rPr>
          <w:rFonts w:ascii="Arial" w:hAnsi="Arial" w:cs="Arial"/>
          <w:b/>
          <w:sz w:val="22"/>
        </w:rPr>
      </w:pPr>
    </w:p>
    <w:p w14:paraId="4E1E6813" w14:textId="77777777" w:rsidR="00D03181" w:rsidRPr="008D01ED" w:rsidRDefault="00E44AE4">
      <w:pPr>
        <w:pStyle w:val="Subtitle"/>
      </w:pPr>
      <w:r w:rsidRPr="008D01ED">
        <w:t xml:space="preserve">SCHEDULE OF </w:t>
      </w:r>
      <w:r w:rsidR="00D03181" w:rsidRPr="008D01ED">
        <w:t>MATTERS RESERVED FOR THE APPROVAL OF THE BOARD</w:t>
      </w:r>
    </w:p>
    <w:p w14:paraId="7F8B8A9F" w14:textId="77777777" w:rsidR="00D03181" w:rsidRPr="008D01ED" w:rsidRDefault="00D03181">
      <w:pPr>
        <w:spacing w:line="280" w:lineRule="exact"/>
        <w:jc w:val="center"/>
        <w:rPr>
          <w:rFonts w:ascii="Arial" w:hAnsi="Arial" w:cs="Arial"/>
          <w:bCs/>
          <w:sz w:val="22"/>
        </w:rPr>
      </w:pPr>
    </w:p>
    <w:p w14:paraId="27520148" w14:textId="77777777" w:rsidR="00D03181" w:rsidRPr="008D01ED" w:rsidRDefault="00D03181">
      <w:pPr>
        <w:spacing w:line="280" w:lineRule="exact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 xml:space="preserve">The agenda for each routine meeting of the Board of Directors shall include the </w:t>
      </w:r>
      <w:r w:rsidR="00E44AE4" w:rsidRPr="008D01ED">
        <w:rPr>
          <w:rFonts w:ascii="Arial" w:hAnsi="Arial" w:cs="Arial"/>
          <w:sz w:val="22"/>
        </w:rPr>
        <w:t xml:space="preserve">following </w:t>
      </w:r>
      <w:r w:rsidRPr="008D01ED">
        <w:rPr>
          <w:rFonts w:ascii="Arial" w:hAnsi="Arial" w:cs="Arial"/>
          <w:sz w:val="22"/>
        </w:rPr>
        <w:t>items of business:</w:t>
      </w:r>
    </w:p>
    <w:p w14:paraId="1007E307" w14:textId="77777777" w:rsidR="00D03181" w:rsidRPr="008D01ED" w:rsidRDefault="00D03181" w:rsidP="00FB7C91">
      <w:pPr>
        <w:spacing w:before="160" w:line="28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8D01ED">
        <w:rPr>
          <w:rFonts w:ascii="Arial" w:hAnsi="Arial" w:cs="Arial"/>
          <w:sz w:val="22"/>
          <w:szCs w:val="22"/>
        </w:rPr>
        <w:t>(</w:t>
      </w:r>
      <w:r w:rsidR="002C2F7F" w:rsidRPr="008D01ED">
        <w:rPr>
          <w:rFonts w:ascii="Arial" w:hAnsi="Arial" w:cs="Arial"/>
          <w:sz w:val="22"/>
          <w:szCs w:val="22"/>
        </w:rPr>
        <w:t>a</w:t>
      </w:r>
      <w:r w:rsidRPr="008D01ED">
        <w:rPr>
          <w:rFonts w:ascii="Arial" w:hAnsi="Arial" w:cs="Arial"/>
          <w:sz w:val="22"/>
          <w:szCs w:val="22"/>
        </w:rPr>
        <w:t>)</w:t>
      </w:r>
      <w:r w:rsidRPr="008D01ED">
        <w:rPr>
          <w:rFonts w:ascii="Arial" w:hAnsi="Arial" w:cs="Arial"/>
        </w:rPr>
        <w:tab/>
      </w:r>
      <w:r w:rsidRPr="008D01ED">
        <w:rPr>
          <w:rFonts w:ascii="Arial" w:hAnsi="Arial" w:cs="Arial"/>
          <w:sz w:val="22"/>
          <w:szCs w:val="22"/>
        </w:rPr>
        <w:t>A report from the Audit Committee (if it has met in the period since the immediately preceding meeting of the Board</w:t>
      </w:r>
      <w:proofErr w:type="gramStart"/>
      <w:r w:rsidRPr="008D01ED">
        <w:rPr>
          <w:rFonts w:ascii="Arial" w:hAnsi="Arial" w:cs="Arial"/>
          <w:sz w:val="22"/>
          <w:szCs w:val="22"/>
        </w:rPr>
        <w:t>);</w:t>
      </w:r>
      <w:proofErr w:type="gramEnd"/>
    </w:p>
    <w:p w14:paraId="199D3C0B" w14:textId="6B30F498" w:rsidR="00E44AE4" w:rsidRPr="008D01ED" w:rsidRDefault="00D03181" w:rsidP="00FB7C91">
      <w:pPr>
        <w:spacing w:before="160" w:line="280" w:lineRule="exact"/>
        <w:ind w:left="720" w:hanging="720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>(</w:t>
      </w:r>
      <w:r w:rsidR="002C2F7F" w:rsidRPr="008D01ED">
        <w:rPr>
          <w:rFonts w:ascii="Arial" w:hAnsi="Arial" w:cs="Arial"/>
          <w:sz w:val="22"/>
        </w:rPr>
        <w:t>b</w:t>
      </w:r>
      <w:r w:rsidRPr="008D01ED">
        <w:rPr>
          <w:rFonts w:ascii="Arial" w:hAnsi="Arial" w:cs="Arial"/>
          <w:sz w:val="22"/>
        </w:rPr>
        <w:t>)</w:t>
      </w:r>
      <w:r w:rsidRPr="008D01ED">
        <w:rPr>
          <w:rFonts w:ascii="Arial" w:hAnsi="Arial" w:cs="Arial"/>
          <w:sz w:val="22"/>
        </w:rPr>
        <w:tab/>
        <w:t xml:space="preserve">A written report from </w:t>
      </w:r>
      <w:r w:rsidR="002419CF" w:rsidRPr="008D01ED">
        <w:rPr>
          <w:rFonts w:ascii="Arial" w:hAnsi="Arial" w:cs="Arial"/>
          <w:sz w:val="22"/>
        </w:rPr>
        <w:t>Gresham House Asset Management Limited</w:t>
      </w:r>
      <w:r w:rsidR="009F2B63" w:rsidRPr="008D01ED">
        <w:rPr>
          <w:rFonts w:ascii="Arial" w:hAnsi="Arial" w:cs="Arial"/>
          <w:sz w:val="22"/>
        </w:rPr>
        <w:t xml:space="preserve"> (“</w:t>
      </w:r>
      <w:r w:rsidR="002419CF" w:rsidRPr="008D01ED">
        <w:rPr>
          <w:rFonts w:ascii="Arial" w:hAnsi="Arial" w:cs="Arial"/>
          <w:sz w:val="22"/>
        </w:rPr>
        <w:t>Gresham House</w:t>
      </w:r>
      <w:r w:rsidR="009F2B63" w:rsidRPr="008D01ED">
        <w:rPr>
          <w:rFonts w:ascii="Arial" w:hAnsi="Arial" w:cs="Arial"/>
          <w:sz w:val="22"/>
        </w:rPr>
        <w:t>”</w:t>
      </w:r>
      <w:r w:rsidR="0031591F" w:rsidRPr="008D01ED">
        <w:rPr>
          <w:rFonts w:ascii="Arial" w:hAnsi="Arial" w:cs="Arial"/>
          <w:sz w:val="22"/>
        </w:rPr>
        <w:t>) to</w:t>
      </w:r>
      <w:r w:rsidR="00E44AE4" w:rsidRPr="008D01ED">
        <w:rPr>
          <w:rFonts w:ascii="Arial" w:hAnsi="Arial" w:cs="Arial"/>
          <w:sz w:val="22"/>
        </w:rPr>
        <w:t xml:space="preserve"> include reports on the extent to which each of the investee companies are regarded as qualifying holdings.</w:t>
      </w:r>
    </w:p>
    <w:p w14:paraId="401523D3" w14:textId="77777777" w:rsidR="00D03181" w:rsidRPr="008D01ED" w:rsidRDefault="00D03181" w:rsidP="00FB7C91">
      <w:pPr>
        <w:spacing w:before="160" w:line="280" w:lineRule="exact"/>
        <w:ind w:left="720" w:hanging="720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>(</w:t>
      </w:r>
      <w:r w:rsidR="002C2F7F" w:rsidRPr="008D01ED">
        <w:rPr>
          <w:rFonts w:ascii="Arial" w:hAnsi="Arial" w:cs="Arial"/>
          <w:sz w:val="22"/>
        </w:rPr>
        <w:t>c</w:t>
      </w:r>
      <w:r w:rsidRPr="008D01ED">
        <w:rPr>
          <w:rFonts w:ascii="Arial" w:hAnsi="Arial" w:cs="Arial"/>
          <w:sz w:val="22"/>
        </w:rPr>
        <w:t>)</w:t>
      </w:r>
      <w:r w:rsidRPr="008D01ED">
        <w:rPr>
          <w:rFonts w:ascii="Arial" w:hAnsi="Arial" w:cs="Arial"/>
          <w:sz w:val="22"/>
        </w:rPr>
        <w:tab/>
        <w:t xml:space="preserve">A report from </w:t>
      </w:r>
      <w:r w:rsidR="003D1C3D" w:rsidRPr="008D01ED">
        <w:rPr>
          <w:rFonts w:ascii="Arial" w:hAnsi="Arial" w:cs="Arial"/>
          <w:sz w:val="22"/>
        </w:rPr>
        <w:t>the administrator</w:t>
      </w:r>
      <w:r w:rsidRPr="008D01ED">
        <w:rPr>
          <w:rFonts w:ascii="Arial" w:hAnsi="Arial" w:cs="Arial"/>
          <w:sz w:val="22"/>
        </w:rPr>
        <w:t xml:space="preserve"> to include quarterly management accounts, </w:t>
      </w:r>
      <w:r w:rsidR="003A4E2E" w:rsidRPr="008D01ED">
        <w:rPr>
          <w:rFonts w:ascii="Arial" w:hAnsi="Arial" w:cs="Arial"/>
          <w:sz w:val="22"/>
        </w:rPr>
        <w:t>h</w:t>
      </w:r>
      <w:r w:rsidR="006031AF" w:rsidRPr="008D01ED">
        <w:rPr>
          <w:rFonts w:ascii="Arial" w:hAnsi="Arial" w:cs="Arial"/>
          <w:sz w:val="22"/>
        </w:rPr>
        <w:t>alf-</w:t>
      </w:r>
      <w:r w:rsidR="003A4E2E" w:rsidRPr="008D01ED">
        <w:rPr>
          <w:rFonts w:ascii="Arial" w:hAnsi="Arial" w:cs="Arial"/>
          <w:sz w:val="22"/>
        </w:rPr>
        <w:t>y</w:t>
      </w:r>
      <w:r w:rsidR="006031AF" w:rsidRPr="008D01ED">
        <w:rPr>
          <w:rFonts w:ascii="Arial" w:hAnsi="Arial" w:cs="Arial"/>
          <w:sz w:val="22"/>
        </w:rPr>
        <w:t>ear</w:t>
      </w:r>
      <w:r w:rsidRPr="008D01ED">
        <w:rPr>
          <w:rFonts w:ascii="Arial" w:hAnsi="Arial" w:cs="Arial"/>
          <w:sz w:val="22"/>
        </w:rPr>
        <w:t xml:space="preserve"> accounts and annual accounts as </w:t>
      </w:r>
      <w:proofErr w:type="gramStart"/>
      <w:r w:rsidRPr="008D01ED">
        <w:rPr>
          <w:rFonts w:ascii="Arial" w:hAnsi="Arial" w:cs="Arial"/>
          <w:sz w:val="22"/>
        </w:rPr>
        <w:t>appropriate;</w:t>
      </w:r>
      <w:proofErr w:type="gramEnd"/>
    </w:p>
    <w:p w14:paraId="060C277A" w14:textId="77777777" w:rsidR="002C2F7F" w:rsidRPr="008D01ED" w:rsidRDefault="00D03181" w:rsidP="00FB7C91">
      <w:pPr>
        <w:spacing w:before="160" w:line="280" w:lineRule="exact"/>
        <w:ind w:left="720" w:hanging="720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>(</w:t>
      </w:r>
      <w:r w:rsidR="002C2F7F" w:rsidRPr="008D01ED">
        <w:rPr>
          <w:rFonts w:ascii="Arial" w:hAnsi="Arial" w:cs="Arial"/>
          <w:sz w:val="22"/>
        </w:rPr>
        <w:t>d</w:t>
      </w:r>
      <w:r w:rsidRPr="008D01ED">
        <w:rPr>
          <w:rFonts w:ascii="Arial" w:hAnsi="Arial" w:cs="Arial"/>
          <w:sz w:val="22"/>
        </w:rPr>
        <w:t>)</w:t>
      </w:r>
      <w:r w:rsidRPr="008D01ED">
        <w:rPr>
          <w:rFonts w:ascii="Arial" w:hAnsi="Arial" w:cs="Arial"/>
          <w:sz w:val="22"/>
        </w:rPr>
        <w:tab/>
        <w:t>A review of the Company’s compliance with the VCT criteria.</w:t>
      </w:r>
      <w:r w:rsidR="00E44AE4" w:rsidRPr="008D01ED">
        <w:rPr>
          <w:rFonts w:ascii="Arial" w:hAnsi="Arial" w:cs="Arial"/>
          <w:sz w:val="22"/>
        </w:rPr>
        <w:t xml:space="preserve">  Reports to be r</w:t>
      </w:r>
      <w:r w:rsidRPr="008D01ED">
        <w:rPr>
          <w:rFonts w:ascii="Arial" w:hAnsi="Arial" w:cs="Arial"/>
          <w:sz w:val="22"/>
        </w:rPr>
        <w:t>eceive</w:t>
      </w:r>
      <w:r w:rsidR="00E44AE4" w:rsidRPr="008D01ED">
        <w:rPr>
          <w:rFonts w:ascii="Arial" w:hAnsi="Arial" w:cs="Arial"/>
          <w:sz w:val="22"/>
        </w:rPr>
        <w:t>d</w:t>
      </w:r>
      <w:r w:rsidRPr="008D01ED">
        <w:rPr>
          <w:rFonts w:ascii="Arial" w:hAnsi="Arial" w:cs="Arial"/>
          <w:sz w:val="22"/>
        </w:rPr>
        <w:t xml:space="preserve"> from </w:t>
      </w:r>
      <w:r w:rsidR="00F00D3F" w:rsidRPr="008D01ED">
        <w:rPr>
          <w:rFonts w:ascii="Arial" w:hAnsi="Arial" w:cs="Arial"/>
          <w:sz w:val="22"/>
        </w:rPr>
        <w:t>Philip Hare &amp; Associates LLP</w:t>
      </w:r>
      <w:r w:rsidRPr="008D01ED">
        <w:rPr>
          <w:rFonts w:ascii="Arial" w:hAnsi="Arial" w:cs="Arial"/>
          <w:sz w:val="22"/>
        </w:rPr>
        <w:t xml:space="preserve"> on the Annual and </w:t>
      </w:r>
      <w:r w:rsidR="003D1C3D" w:rsidRPr="008D01ED">
        <w:rPr>
          <w:rFonts w:ascii="Arial" w:hAnsi="Arial" w:cs="Arial"/>
          <w:sz w:val="22"/>
        </w:rPr>
        <w:t>Half-Yearly</w:t>
      </w:r>
      <w:r w:rsidRPr="008D01ED">
        <w:rPr>
          <w:rFonts w:ascii="Arial" w:hAnsi="Arial" w:cs="Arial"/>
          <w:sz w:val="22"/>
        </w:rPr>
        <w:t xml:space="preserve"> Accounts, each of which will include sufficient information to enable the Directors to monitor the Company’s position in respect of VCT </w:t>
      </w:r>
      <w:proofErr w:type="gramStart"/>
      <w:r w:rsidRPr="008D01ED">
        <w:rPr>
          <w:rFonts w:ascii="Arial" w:hAnsi="Arial" w:cs="Arial"/>
          <w:sz w:val="22"/>
        </w:rPr>
        <w:t>status</w:t>
      </w:r>
      <w:r w:rsidR="002C2F7F" w:rsidRPr="008D01ED">
        <w:rPr>
          <w:rFonts w:ascii="Arial" w:hAnsi="Arial" w:cs="Arial"/>
          <w:sz w:val="22"/>
        </w:rPr>
        <w:t>;</w:t>
      </w:r>
      <w:proofErr w:type="gramEnd"/>
    </w:p>
    <w:p w14:paraId="1B533449" w14:textId="77777777" w:rsidR="00D03181" w:rsidRPr="008D01ED" w:rsidRDefault="002C2F7F" w:rsidP="00FB7C91">
      <w:pPr>
        <w:spacing w:before="160" w:line="280" w:lineRule="exact"/>
        <w:ind w:left="720" w:hanging="720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>(e)</w:t>
      </w:r>
      <w:r w:rsidRPr="008D01ED">
        <w:rPr>
          <w:rFonts w:ascii="Arial" w:hAnsi="Arial" w:cs="Arial"/>
          <w:sz w:val="22"/>
        </w:rPr>
        <w:tab/>
        <w:t>A report on recent investment decisions made by the Board</w:t>
      </w:r>
      <w:r w:rsidR="00D03181" w:rsidRPr="008D01ED">
        <w:rPr>
          <w:rFonts w:ascii="Arial" w:hAnsi="Arial" w:cs="Arial"/>
          <w:sz w:val="22"/>
        </w:rPr>
        <w:t xml:space="preserve">.  </w:t>
      </w:r>
    </w:p>
    <w:p w14:paraId="62099A80" w14:textId="77777777" w:rsidR="006B703D" w:rsidRPr="008D01ED" w:rsidRDefault="006B703D" w:rsidP="009F2B63">
      <w:pPr>
        <w:spacing w:line="280" w:lineRule="exact"/>
        <w:ind w:left="720" w:hanging="720"/>
        <w:jc w:val="both"/>
        <w:rPr>
          <w:rFonts w:ascii="Arial" w:hAnsi="Arial" w:cs="Arial"/>
          <w:sz w:val="22"/>
        </w:rPr>
      </w:pPr>
    </w:p>
    <w:p w14:paraId="2579135E" w14:textId="77777777" w:rsidR="006B703D" w:rsidRPr="008D01ED" w:rsidRDefault="006B703D" w:rsidP="009F2B63">
      <w:pPr>
        <w:spacing w:line="280" w:lineRule="exact"/>
        <w:jc w:val="both"/>
        <w:rPr>
          <w:rFonts w:ascii="Arial" w:hAnsi="Arial" w:cs="Arial"/>
          <w:b/>
          <w:sz w:val="22"/>
        </w:rPr>
      </w:pPr>
      <w:r w:rsidRPr="008D01ED">
        <w:rPr>
          <w:rFonts w:ascii="Arial" w:hAnsi="Arial" w:cs="Arial"/>
          <w:b/>
          <w:sz w:val="22"/>
        </w:rPr>
        <w:t>Investment proposals</w:t>
      </w:r>
    </w:p>
    <w:p w14:paraId="30E8C215" w14:textId="77777777" w:rsidR="006B703D" w:rsidRPr="008D01ED" w:rsidRDefault="006B703D" w:rsidP="00FB7C91">
      <w:pPr>
        <w:spacing w:line="280" w:lineRule="exact"/>
        <w:jc w:val="both"/>
        <w:rPr>
          <w:rFonts w:ascii="Arial" w:hAnsi="Arial" w:cs="Arial"/>
          <w:sz w:val="22"/>
        </w:rPr>
      </w:pPr>
      <w:r w:rsidRPr="008D01ED">
        <w:rPr>
          <w:rFonts w:ascii="Arial" w:hAnsi="Arial" w:cs="Arial"/>
          <w:sz w:val="22"/>
        </w:rPr>
        <w:t>A formal proposal for each venture capital investment opportunity to be circulated to the full Board.</w:t>
      </w:r>
    </w:p>
    <w:p w14:paraId="6C6A7DA9" w14:textId="77777777" w:rsidR="00221B5B" w:rsidRPr="008D01ED" w:rsidRDefault="00221B5B" w:rsidP="00FB7C91">
      <w:pPr>
        <w:pStyle w:val="Default"/>
        <w:spacing w:before="200"/>
        <w:rPr>
          <w:b/>
          <w:bCs/>
        </w:rPr>
      </w:pPr>
      <w:r w:rsidRPr="008D01ED">
        <w:rPr>
          <w:b/>
          <w:bCs/>
        </w:rPr>
        <w:t xml:space="preserve">Schedule of matters reserved for </w:t>
      </w:r>
      <w:r w:rsidR="00E44AE4" w:rsidRPr="008D01ED">
        <w:rPr>
          <w:b/>
          <w:bCs/>
        </w:rPr>
        <w:t xml:space="preserve">decision by </w:t>
      </w:r>
      <w:r w:rsidRPr="008D01ED">
        <w:rPr>
          <w:b/>
          <w:bCs/>
        </w:rPr>
        <w:t xml:space="preserve">the </w:t>
      </w:r>
      <w:proofErr w:type="gramStart"/>
      <w:r w:rsidRPr="008D01ED">
        <w:rPr>
          <w:b/>
          <w:bCs/>
        </w:rPr>
        <w:t>board</w:t>
      </w:r>
      <w:proofErr w:type="gramEnd"/>
      <w:r w:rsidRPr="008D01ED">
        <w:rPr>
          <w:b/>
          <w:bCs/>
        </w:rPr>
        <w:t xml:space="preserve"> </w:t>
      </w:r>
    </w:p>
    <w:p w14:paraId="4C63BB06" w14:textId="77777777" w:rsidR="00221B5B" w:rsidRPr="008D01ED" w:rsidRDefault="00221B5B" w:rsidP="00FB7C91">
      <w:pPr>
        <w:tabs>
          <w:tab w:val="left" w:pos="8472"/>
        </w:tabs>
        <w:autoSpaceDE w:val="0"/>
        <w:autoSpaceDN w:val="0"/>
        <w:adjustRightInd w:val="0"/>
        <w:spacing w:before="20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1.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Strategy and management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290AAE1F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1.1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Responsibility for the overall leadership of the Company and setting the company's values and standards.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19C6A60B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1.2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the Company’s strategic aims and objectives.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74DCB21C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1.3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Approvals of the annual operating and capital expenditure budgets and any material changes to them.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1A9CC44" w14:textId="77777777" w:rsidR="00221B5B" w:rsidRPr="008D01ED" w:rsidRDefault="00221B5B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1.4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Oversight of the Company’s operations ensuring: </w:t>
      </w:r>
    </w:p>
    <w:p w14:paraId="7A0E1C59" w14:textId="77777777" w:rsidR="00221B5B" w:rsidRPr="008D01ED" w:rsidRDefault="008B17FB" w:rsidP="00221B5B">
      <w:pPr>
        <w:autoSpaceDE w:val="0"/>
        <w:autoSpaceDN w:val="0"/>
        <w:adjustRightInd w:val="0"/>
        <w:ind w:left="1548" w:hanging="414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competent and prudent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management;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A6285C3" w14:textId="77777777" w:rsidR="00221B5B" w:rsidRPr="008D01ED" w:rsidRDefault="008B17FB" w:rsidP="00221B5B">
      <w:pPr>
        <w:autoSpaceDE w:val="0"/>
        <w:autoSpaceDN w:val="0"/>
        <w:adjustRightInd w:val="0"/>
        <w:ind w:left="1548" w:hanging="414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sound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planning;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0B22E09" w14:textId="77777777" w:rsidR="00221B5B" w:rsidRPr="008D01ED" w:rsidRDefault="008B17FB" w:rsidP="00221B5B">
      <w:pPr>
        <w:autoSpaceDE w:val="0"/>
        <w:autoSpaceDN w:val="0"/>
        <w:adjustRightInd w:val="0"/>
        <w:ind w:left="1548" w:hanging="414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maintenance of sound management and internal control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systems;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4E9CB87B" w14:textId="77777777" w:rsidR="00221B5B" w:rsidRPr="008D01ED" w:rsidRDefault="008B17FB" w:rsidP="00221B5B">
      <w:pPr>
        <w:autoSpaceDE w:val="0"/>
        <w:autoSpaceDN w:val="0"/>
        <w:adjustRightInd w:val="0"/>
        <w:ind w:left="1548" w:hanging="414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adequate accounting and other records; and </w:t>
      </w:r>
    </w:p>
    <w:p w14:paraId="6D5E1CC6" w14:textId="77777777" w:rsidR="00221B5B" w:rsidRPr="008D01ED" w:rsidRDefault="008B17F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-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compliance with statutory and regulatory obligations.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4E82D848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1.5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Review of performance in the light of the Company’s strategic aims, objectives, business plans and budgets and ensuring that any necessary corrective action is taken.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0CB021D8" w14:textId="77777777" w:rsidR="00221B5B" w:rsidRPr="008D01ED" w:rsidRDefault="00221B5B" w:rsidP="00FB7C91">
      <w:pPr>
        <w:tabs>
          <w:tab w:val="left" w:pos="8472"/>
        </w:tabs>
        <w:autoSpaceDE w:val="0"/>
        <w:autoSpaceDN w:val="0"/>
        <w:adjustRightInd w:val="0"/>
        <w:spacing w:before="20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2.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Structure and capital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C0F0D38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2.1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Changes relating to the Company’s capital structure including reduction of capital, share issues, share buy backs (including the use of treasury shares). </w:t>
      </w:r>
    </w:p>
    <w:p w14:paraId="487B0E8F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2.2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>Major changes to the Company’s corporate structure, including, but not limited to acquisitions and disposals of shares which are material relative to the size of the Company (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taking into account</w:t>
      </w:r>
      <w:proofErr w:type="gramEnd"/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initial and deferred consideration).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3EA6F66" w14:textId="77777777" w:rsidR="00E7631F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2.</w:t>
      </w:r>
      <w:r w:rsidR="00C10035" w:rsidRPr="008D01ED">
        <w:rPr>
          <w:rFonts w:ascii="Arial" w:eastAsia="Calibri" w:hAnsi="Arial" w:cs="Arial"/>
          <w:color w:val="000000"/>
          <w:sz w:val="22"/>
          <w:szCs w:val="22"/>
        </w:rPr>
        <w:t xml:space="preserve">3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Any changes to the Company’s listing or its status as a plc. </w:t>
      </w:r>
    </w:p>
    <w:p w14:paraId="43C061AA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66F86C8" w14:textId="77777777" w:rsidR="00221B5B" w:rsidRPr="008D01ED" w:rsidRDefault="00221B5B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sz w:val="22"/>
          <w:szCs w:val="22"/>
        </w:rPr>
      </w:pPr>
    </w:p>
    <w:p w14:paraId="3F928032" w14:textId="77777777" w:rsidR="00E7631F" w:rsidRPr="008D01ED" w:rsidRDefault="00E7631F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</w:p>
    <w:p w14:paraId="724CDA53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Pr="008D01ED">
        <w:rPr>
          <w:rFonts w:ascii="Arial" w:eastAsia="Calibri" w:hAnsi="Arial" w:cs="Arial"/>
          <w:b/>
          <w:color w:val="000000"/>
          <w:sz w:val="22"/>
          <w:szCs w:val="22"/>
        </w:rPr>
        <w:t>Financial reporting and controls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09608C08" w14:textId="77777777" w:rsidR="00221B5B" w:rsidRPr="008D01ED" w:rsidRDefault="00221B5B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the half-year report, interim management statements and any preliminary announcement of the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final results</w:t>
      </w:r>
      <w:proofErr w:type="gramEnd"/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57E8B558" w14:textId="77777777" w:rsidR="00221B5B" w:rsidRPr="008D01ED" w:rsidRDefault="00221B5B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3.2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>Approval of the annual report and accounts (including the corporate governance statement and directors' remuneration report).</w:t>
      </w:r>
    </w:p>
    <w:p w14:paraId="1581D1C7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3.3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the dividend policy.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0598CD8" w14:textId="77777777" w:rsidR="00221B5B" w:rsidRPr="008D01ED" w:rsidRDefault="00221B5B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3.4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Declaration of interim dividends and recommendation of the final dividend.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767D143B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3.5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any significant changes in accounting policies or practices.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77E0C80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</w:p>
    <w:p w14:paraId="79B26815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4.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Internal controls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C4FE8D0" w14:textId="77777777" w:rsidR="00221B5B" w:rsidRPr="008D01ED" w:rsidRDefault="00221B5B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4.1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Ensuring maintenance of a sound system of internal control and risk management including: </w:t>
      </w:r>
    </w:p>
    <w:p w14:paraId="30A33EB8" w14:textId="77777777" w:rsidR="00221B5B" w:rsidRPr="008D01ED" w:rsidRDefault="008B17FB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>A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pproving the Company’s policy on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risk;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1A9D371" w14:textId="77777777" w:rsidR="00221B5B" w:rsidRPr="008D01ED" w:rsidRDefault="008B17FB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Receiving reports on, and reviewing the effec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tiveness of, the Company’s risk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and control processes to support its strategy and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objectives;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B214B2C" w14:textId="77777777" w:rsidR="00221B5B" w:rsidRPr="008D01ED" w:rsidRDefault="008B17FB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Approving procedures for the detection of fraud and the prevention of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bribery;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74DCEDE" w14:textId="77777777" w:rsidR="00221B5B" w:rsidRPr="008D01ED" w:rsidRDefault="008B17FB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Undertaking an annual assessment of these processes; and </w:t>
      </w:r>
    </w:p>
    <w:p w14:paraId="7F061800" w14:textId="77777777" w:rsidR="00221B5B" w:rsidRPr="008D01ED" w:rsidRDefault="008B17FB" w:rsidP="00D1448F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Approving an appropriate statement for inclusion in the annual report. </w:t>
      </w:r>
    </w:p>
    <w:p w14:paraId="27D3B3DC" w14:textId="3F84FE8C" w:rsidR="00D1448F" w:rsidRPr="008D01ED" w:rsidRDefault="00D1448F" w:rsidP="00D1448F">
      <w:pPr>
        <w:autoSpaceDE w:val="0"/>
        <w:autoSpaceDN w:val="0"/>
        <w:adjustRightInd w:val="0"/>
        <w:ind w:left="1361" w:hanging="227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-  Receiving assurance from </w:t>
      </w:r>
      <w:r w:rsidR="002419CF" w:rsidRPr="008D01ED">
        <w:rPr>
          <w:rFonts w:ascii="Arial" w:hAnsi="Arial" w:cs="Arial"/>
          <w:color w:val="000000"/>
          <w:sz w:val="22"/>
          <w:szCs w:val="22"/>
          <w:lang w:eastAsia="en-GB"/>
        </w:rPr>
        <w:t>Gresham House</w:t>
      </w: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 that it has an effective system of internal controls in place.</w:t>
      </w:r>
    </w:p>
    <w:p w14:paraId="7FA7BC22" w14:textId="77777777" w:rsidR="00221B5B" w:rsidRPr="008D01ED" w:rsidRDefault="00221B5B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60E973EA" w14:textId="77777777" w:rsidR="00221B5B" w:rsidRPr="008D01ED" w:rsidRDefault="00221B5B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sz w:val="22"/>
          <w:szCs w:val="22"/>
        </w:rPr>
        <w:t>5.</w:t>
      </w:r>
      <w:r w:rsidRPr="008D01ED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b/>
          <w:color w:val="000000"/>
          <w:sz w:val="22"/>
          <w:szCs w:val="22"/>
        </w:rPr>
        <w:tab/>
        <w:t>Investments</w:t>
      </w:r>
      <w:r w:rsidRPr="008D01ED">
        <w:rPr>
          <w:rFonts w:ascii="Arial" w:eastAsia="Calibri" w:hAnsi="Arial" w:cs="Arial"/>
          <w:sz w:val="22"/>
          <w:szCs w:val="22"/>
        </w:rPr>
        <w:tab/>
      </w:r>
    </w:p>
    <w:p w14:paraId="7710B2BE" w14:textId="77777777" w:rsidR="00221B5B" w:rsidRPr="008D01ED" w:rsidRDefault="00F26D3D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sz w:val="22"/>
          <w:szCs w:val="22"/>
        </w:rPr>
      </w:pPr>
      <w:r w:rsidRPr="008D01ED">
        <w:rPr>
          <w:rFonts w:ascii="Arial" w:eastAsia="Calibri" w:hAnsi="Arial" w:cs="Arial"/>
          <w:sz w:val="22"/>
          <w:szCs w:val="22"/>
        </w:rPr>
        <w:t>5.1</w:t>
      </w:r>
      <w:r w:rsidR="008B17FB" w:rsidRPr="008D01ED">
        <w:rPr>
          <w:rFonts w:ascii="Arial" w:eastAsia="Calibri" w:hAnsi="Arial" w:cs="Arial"/>
          <w:sz w:val="22"/>
          <w:szCs w:val="22"/>
        </w:rPr>
        <w:tab/>
      </w:r>
      <w:r w:rsidR="00FB7C91" w:rsidRPr="008D01ED">
        <w:rPr>
          <w:rFonts w:ascii="Arial" w:eastAsia="Calibri" w:hAnsi="Arial" w:cs="Arial"/>
          <w:sz w:val="22"/>
          <w:szCs w:val="22"/>
        </w:rPr>
        <w:t>Considering and either approving or rejecting</w:t>
      </w:r>
      <w:r w:rsidR="008B17FB" w:rsidRPr="008D01ED">
        <w:rPr>
          <w:rFonts w:ascii="Arial" w:eastAsia="Calibri" w:hAnsi="Arial" w:cs="Arial"/>
          <w:sz w:val="22"/>
          <w:szCs w:val="22"/>
        </w:rPr>
        <w:t xml:space="preserve"> all proposals for investment and divestment of the Company’s venture capital portfolio.</w:t>
      </w:r>
    </w:p>
    <w:p w14:paraId="56A621F3" w14:textId="77777777" w:rsidR="00F26D3D" w:rsidRPr="008D01ED" w:rsidRDefault="00F26D3D" w:rsidP="00D1448F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sz w:val="22"/>
          <w:szCs w:val="22"/>
        </w:rPr>
      </w:pPr>
      <w:r w:rsidRPr="008D01ED">
        <w:rPr>
          <w:rFonts w:ascii="Arial" w:eastAsia="Calibri" w:hAnsi="Arial" w:cs="Arial"/>
          <w:sz w:val="22"/>
          <w:szCs w:val="22"/>
        </w:rPr>
        <w:t>5.2</w:t>
      </w:r>
      <w:r w:rsidR="008B17FB" w:rsidRPr="008D01ED">
        <w:rPr>
          <w:rFonts w:ascii="Arial" w:eastAsia="Calibri" w:hAnsi="Arial" w:cs="Arial"/>
          <w:sz w:val="22"/>
          <w:szCs w:val="22"/>
        </w:rPr>
        <w:tab/>
        <w:t>R</w:t>
      </w:r>
      <w:r w:rsidRPr="008D01ED">
        <w:rPr>
          <w:rFonts w:ascii="Arial" w:eastAsia="Calibri" w:hAnsi="Arial" w:cs="Arial"/>
          <w:sz w:val="22"/>
          <w:szCs w:val="22"/>
        </w:rPr>
        <w:t>eviewing investment performance and associated matters at each quarterly board meeting including performance of the share price and net asset value.</w:t>
      </w:r>
    </w:p>
    <w:p w14:paraId="3E715C17" w14:textId="77777777" w:rsidR="00D1448F" w:rsidRPr="008D01ED" w:rsidRDefault="00D1448F" w:rsidP="007F12EB">
      <w:pPr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>5.3</w:t>
      </w: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ab/>
        <w:t>Consider</w:t>
      </w:r>
      <w:r w:rsidR="007F12EB" w:rsidRPr="008D01ED">
        <w:rPr>
          <w:rFonts w:ascii="Arial" w:hAnsi="Arial" w:cs="Arial"/>
          <w:color w:val="000000"/>
          <w:sz w:val="22"/>
          <w:szCs w:val="22"/>
          <w:lang w:eastAsia="en-GB"/>
        </w:rPr>
        <w:t>ing</w:t>
      </w: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 quarterly reports from the </w:t>
      </w:r>
      <w:r w:rsidR="00FB7C91" w:rsidRPr="008D01ED">
        <w:rPr>
          <w:rFonts w:ascii="Arial" w:hAnsi="Arial" w:cs="Arial"/>
          <w:color w:val="000000"/>
          <w:sz w:val="22"/>
          <w:szCs w:val="22"/>
          <w:lang w:eastAsia="en-GB"/>
        </w:rPr>
        <w:t>Adviser</w:t>
      </w: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 on the new investment opportunities it was considering.</w:t>
      </w:r>
    </w:p>
    <w:p w14:paraId="1DE6BF04" w14:textId="77777777" w:rsidR="007F12EB" w:rsidRPr="008D01ED" w:rsidRDefault="007F12EB" w:rsidP="003F5E28">
      <w:pPr>
        <w:autoSpaceDE w:val="0"/>
        <w:autoSpaceDN w:val="0"/>
        <w:adjustRightInd w:val="0"/>
        <w:spacing w:line="280" w:lineRule="exact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8D01ED">
        <w:rPr>
          <w:rFonts w:ascii="Arial" w:eastAsia="Calibri" w:hAnsi="Arial" w:cs="Arial"/>
          <w:position w:val="-1"/>
          <w:sz w:val="22"/>
          <w:szCs w:val="22"/>
        </w:rPr>
        <w:t>5.4</w:t>
      </w:r>
      <w:r w:rsidRPr="008D01ED">
        <w:rPr>
          <w:rFonts w:ascii="Arial" w:eastAsia="Calibri" w:hAnsi="Arial" w:cs="Arial"/>
          <w:position w:val="-1"/>
          <w:sz w:val="22"/>
          <w:szCs w:val="22"/>
        </w:rPr>
        <w:tab/>
        <w:t>I</w:t>
      </w:r>
      <w:proofErr w:type="spellStart"/>
      <w:r w:rsidRPr="008D01ED">
        <w:rPr>
          <w:rFonts w:ascii="Arial" w:eastAsia="Calibri" w:hAnsi="Arial" w:cs="Arial"/>
          <w:spacing w:val="5"/>
          <w:sz w:val="22"/>
          <w:szCs w:val="22"/>
        </w:rPr>
        <w:t>n</w:t>
      </w:r>
      <w:r w:rsidRPr="008D01ED">
        <w:rPr>
          <w:rFonts w:ascii="Arial" w:eastAsia="Calibri" w:hAnsi="Arial" w:cs="Arial"/>
          <w:spacing w:val="-7"/>
          <w:sz w:val="22"/>
          <w:szCs w:val="22"/>
        </w:rPr>
        <w:t>v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e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st</w:t>
      </w:r>
      <w:r w:rsidRPr="008D01ED">
        <w:rPr>
          <w:rFonts w:ascii="Arial" w:eastAsia="Calibri" w:hAnsi="Arial" w:cs="Arial"/>
          <w:spacing w:val="6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ga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ting</w:t>
      </w:r>
      <w:proofErr w:type="spellEnd"/>
      <w:r w:rsidRPr="008D01ED">
        <w:rPr>
          <w:rFonts w:ascii="Arial" w:eastAsia="Calibri" w:hAnsi="Arial" w:cs="Arial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</w:t>
      </w:r>
      <w:r w:rsidRPr="008D01ED">
        <w:rPr>
          <w:rFonts w:ascii="Arial" w:eastAsia="Calibri" w:hAnsi="Arial" w:cs="Arial"/>
          <w:sz w:val="22"/>
          <w:szCs w:val="22"/>
        </w:rPr>
        <w:t xml:space="preserve">ny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b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r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e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ac</w:t>
      </w:r>
      <w:r w:rsidRPr="008D01ED">
        <w:rPr>
          <w:rFonts w:ascii="Arial" w:eastAsia="Calibri" w:hAnsi="Arial" w:cs="Arial"/>
          <w:sz w:val="22"/>
          <w:szCs w:val="22"/>
        </w:rPr>
        <w:t>h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e</w:t>
      </w:r>
      <w:r w:rsidRPr="008D01ED">
        <w:rPr>
          <w:rFonts w:ascii="Arial" w:eastAsia="Calibri" w:hAnsi="Arial" w:cs="Arial"/>
          <w:sz w:val="22"/>
          <w:szCs w:val="22"/>
        </w:rPr>
        <w:t>s</w:t>
      </w:r>
      <w:r w:rsidRPr="008D01ED">
        <w:rPr>
          <w:rFonts w:ascii="Arial" w:eastAsia="Calibri" w:hAnsi="Arial" w:cs="Arial"/>
          <w:spacing w:val="66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z w:val="22"/>
          <w:szCs w:val="22"/>
        </w:rPr>
        <w:t xml:space="preserve">of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ag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r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e</w:t>
      </w:r>
      <w:r w:rsidRPr="008D01ED">
        <w:rPr>
          <w:rFonts w:ascii="Arial" w:eastAsia="Calibri" w:hAnsi="Arial" w:cs="Arial"/>
          <w:spacing w:val="-7"/>
          <w:sz w:val="22"/>
          <w:szCs w:val="22"/>
        </w:rPr>
        <w:t>e</w:t>
      </w:r>
      <w:r w:rsidRPr="008D01ED">
        <w:rPr>
          <w:rFonts w:ascii="Arial" w:eastAsia="Calibri" w:hAnsi="Arial" w:cs="Arial"/>
          <w:sz w:val="22"/>
          <w:szCs w:val="22"/>
        </w:rPr>
        <w:t xml:space="preserve">d 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5"/>
          <w:sz w:val="22"/>
          <w:szCs w:val="22"/>
        </w:rPr>
        <w:t>n</w:t>
      </w:r>
      <w:r w:rsidRPr="008D01ED">
        <w:rPr>
          <w:rFonts w:ascii="Arial" w:eastAsia="Calibri" w:hAnsi="Arial" w:cs="Arial"/>
          <w:spacing w:val="-7"/>
          <w:sz w:val="22"/>
          <w:szCs w:val="22"/>
        </w:rPr>
        <w:t>v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e</w:t>
      </w:r>
      <w:r w:rsidRPr="008D01ED">
        <w:rPr>
          <w:rFonts w:ascii="Arial" w:eastAsia="Calibri" w:hAnsi="Arial" w:cs="Arial"/>
          <w:spacing w:val="-8"/>
          <w:sz w:val="22"/>
          <w:szCs w:val="22"/>
        </w:rPr>
        <w:t>s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t</w:t>
      </w:r>
      <w:r w:rsidRPr="008D01ED">
        <w:rPr>
          <w:rFonts w:ascii="Arial" w:eastAsia="Calibri" w:hAnsi="Arial" w:cs="Arial"/>
          <w:spacing w:val="3"/>
          <w:sz w:val="22"/>
          <w:szCs w:val="22"/>
        </w:rPr>
        <w:t>m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e</w:t>
      </w:r>
      <w:r w:rsidRPr="008D01ED">
        <w:rPr>
          <w:rFonts w:ascii="Arial" w:eastAsia="Calibri" w:hAnsi="Arial" w:cs="Arial"/>
          <w:sz w:val="22"/>
          <w:szCs w:val="22"/>
        </w:rPr>
        <w:t>nt</w:t>
      </w:r>
      <w:r w:rsidRPr="008D01ED">
        <w:rPr>
          <w:rFonts w:ascii="Arial" w:eastAsia="Calibri" w:hAnsi="Arial" w:cs="Arial"/>
          <w:spacing w:val="62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l</w:t>
      </w:r>
      <w:r w:rsidRPr="008D01ED">
        <w:rPr>
          <w:rFonts w:ascii="Arial" w:eastAsia="Calibri" w:hAnsi="Arial" w:cs="Arial"/>
          <w:spacing w:val="10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-11"/>
          <w:sz w:val="22"/>
          <w:szCs w:val="22"/>
        </w:rPr>
        <w:t>m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t</w:t>
      </w:r>
      <w:r w:rsidRPr="008D01ED">
        <w:rPr>
          <w:rFonts w:ascii="Arial" w:eastAsia="Calibri" w:hAnsi="Arial" w:cs="Arial"/>
          <w:sz w:val="22"/>
          <w:szCs w:val="22"/>
        </w:rPr>
        <w:t>s</w:t>
      </w:r>
      <w:r w:rsidRPr="008D01ED">
        <w:rPr>
          <w:rFonts w:ascii="Arial" w:eastAsia="Calibri" w:hAnsi="Arial" w:cs="Arial"/>
          <w:spacing w:val="65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</w:t>
      </w:r>
      <w:r w:rsidRPr="008D01ED">
        <w:rPr>
          <w:rFonts w:ascii="Arial" w:eastAsia="Calibri" w:hAnsi="Arial" w:cs="Arial"/>
          <w:sz w:val="22"/>
          <w:szCs w:val="22"/>
        </w:rPr>
        <w:t xml:space="preserve">nd </w:t>
      </w:r>
      <w:r w:rsidRPr="008D01ED">
        <w:rPr>
          <w:rFonts w:ascii="Arial" w:eastAsia="Calibri" w:hAnsi="Arial" w:cs="Arial"/>
          <w:spacing w:val="-8"/>
          <w:sz w:val="22"/>
          <w:szCs w:val="22"/>
        </w:rPr>
        <w:t>a</w:t>
      </w:r>
      <w:r w:rsidRPr="008D01ED">
        <w:rPr>
          <w:rFonts w:ascii="Arial" w:eastAsia="Calibri" w:hAnsi="Arial" w:cs="Arial"/>
          <w:spacing w:val="5"/>
          <w:sz w:val="22"/>
          <w:szCs w:val="22"/>
        </w:rPr>
        <w:t>n</w:t>
      </w:r>
      <w:r w:rsidRPr="008D01ED">
        <w:rPr>
          <w:rFonts w:ascii="Arial" w:eastAsia="Calibri" w:hAnsi="Arial" w:cs="Arial"/>
          <w:sz w:val="22"/>
          <w:szCs w:val="22"/>
        </w:rPr>
        <w:t xml:space="preserve">y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d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ev</w:t>
      </w:r>
      <w:r w:rsidRPr="008D01ED">
        <w:rPr>
          <w:rFonts w:ascii="Arial" w:eastAsia="Calibri" w:hAnsi="Arial" w:cs="Arial"/>
          <w:spacing w:val="6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-8"/>
          <w:sz w:val="22"/>
          <w:szCs w:val="22"/>
        </w:rPr>
        <w:t>a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t</w:t>
      </w:r>
      <w:r w:rsidRPr="008D01ED">
        <w:rPr>
          <w:rFonts w:ascii="Arial" w:eastAsia="Calibri" w:hAnsi="Arial" w:cs="Arial"/>
          <w:spacing w:val="10"/>
          <w:sz w:val="22"/>
          <w:szCs w:val="22"/>
        </w:rPr>
        <w:t>i</w:t>
      </w:r>
      <w:r w:rsidRPr="008D01ED">
        <w:rPr>
          <w:rFonts w:ascii="Arial" w:eastAsia="Calibri" w:hAnsi="Arial" w:cs="Arial"/>
          <w:spacing w:val="-5"/>
          <w:sz w:val="22"/>
          <w:szCs w:val="22"/>
        </w:rPr>
        <w:t>o</w:t>
      </w:r>
      <w:r w:rsidRPr="008D01ED">
        <w:rPr>
          <w:rFonts w:ascii="Arial" w:eastAsia="Calibri" w:hAnsi="Arial" w:cs="Arial"/>
          <w:sz w:val="22"/>
          <w:szCs w:val="22"/>
        </w:rPr>
        <w:t>n</w:t>
      </w:r>
      <w:r w:rsidRPr="008D01ED">
        <w:rPr>
          <w:rFonts w:ascii="Arial" w:eastAsia="Calibri" w:hAnsi="Arial" w:cs="Arial"/>
          <w:spacing w:val="-4"/>
          <w:sz w:val="22"/>
          <w:szCs w:val="22"/>
        </w:rPr>
        <w:t xml:space="preserve"> f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r</w:t>
      </w:r>
      <w:r w:rsidRPr="008D01ED">
        <w:rPr>
          <w:rFonts w:ascii="Arial" w:eastAsia="Calibri" w:hAnsi="Arial" w:cs="Arial"/>
          <w:sz w:val="22"/>
          <w:szCs w:val="22"/>
        </w:rPr>
        <w:t>om</w:t>
      </w:r>
      <w:r w:rsidRPr="008D01ED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t</w:t>
      </w:r>
      <w:r w:rsidRPr="008D01ED">
        <w:rPr>
          <w:rFonts w:ascii="Arial" w:eastAsia="Calibri" w:hAnsi="Arial" w:cs="Arial"/>
          <w:sz w:val="22"/>
          <w:szCs w:val="22"/>
        </w:rPr>
        <w:t>he</w:t>
      </w:r>
      <w:r w:rsidRPr="008D01ED">
        <w:rPr>
          <w:rFonts w:ascii="Arial" w:eastAsia="Calibri" w:hAnsi="Arial" w:cs="Arial"/>
          <w:spacing w:val="-5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C</w:t>
      </w:r>
      <w:r w:rsidRPr="008D01ED">
        <w:rPr>
          <w:rFonts w:ascii="Arial" w:eastAsia="Calibri" w:hAnsi="Arial" w:cs="Arial"/>
          <w:spacing w:val="5"/>
          <w:sz w:val="22"/>
          <w:szCs w:val="22"/>
        </w:rPr>
        <w:t>o</w:t>
      </w:r>
      <w:r w:rsidRPr="008D01ED">
        <w:rPr>
          <w:rFonts w:ascii="Arial" w:eastAsia="Calibri" w:hAnsi="Arial" w:cs="Arial"/>
          <w:spacing w:val="-7"/>
          <w:sz w:val="22"/>
          <w:szCs w:val="22"/>
        </w:rPr>
        <w:t>m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p</w:t>
      </w:r>
      <w:r w:rsidRPr="008D01ED">
        <w:rPr>
          <w:rFonts w:ascii="Arial" w:eastAsia="Calibri" w:hAnsi="Arial" w:cs="Arial"/>
          <w:spacing w:val="-8"/>
          <w:sz w:val="22"/>
          <w:szCs w:val="22"/>
        </w:rPr>
        <w:t>a</w:t>
      </w:r>
      <w:r w:rsidRPr="008D01ED">
        <w:rPr>
          <w:rFonts w:ascii="Arial" w:eastAsia="Calibri" w:hAnsi="Arial" w:cs="Arial"/>
          <w:spacing w:val="5"/>
          <w:sz w:val="22"/>
          <w:szCs w:val="22"/>
        </w:rPr>
        <w:t>n</w:t>
      </w:r>
      <w:r w:rsidRPr="008D01ED">
        <w:rPr>
          <w:rFonts w:ascii="Arial" w:eastAsia="Calibri" w:hAnsi="Arial" w:cs="Arial"/>
          <w:spacing w:val="-7"/>
          <w:sz w:val="22"/>
          <w:szCs w:val="22"/>
        </w:rPr>
        <w:t>y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’</w:t>
      </w:r>
      <w:r w:rsidRPr="008D01ED">
        <w:rPr>
          <w:rFonts w:ascii="Arial" w:eastAsia="Calibri" w:hAnsi="Arial" w:cs="Arial"/>
          <w:sz w:val="22"/>
          <w:szCs w:val="22"/>
        </w:rPr>
        <w:t>s</w:t>
      </w:r>
      <w:r w:rsidRPr="008D01ED">
        <w:rPr>
          <w:rFonts w:ascii="Arial" w:eastAsia="Calibri" w:hAnsi="Arial" w:cs="Arial"/>
          <w:spacing w:val="-12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6"/>
          <w:sz w:val="22"/>
          <w:szCs w:val="22"/>
        </w:rPr>
        <w:t>i</w:t>
      </w:r>
      <w:r w:rsidRPr="008D01ED">
        <w:rPr>
          <w:rFonts w:ascii="Arial" w:eastAsia="Calibri" w:hAnsi="Arial" w:cs="Arial"/>
          <w:sz w:val="22"/>
          <w:szCs w:val="22"/>
        </w:rPr>
        <w:t>n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ve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st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me</w:t>
      </w:r>
      <w:r w:rsidRPr="008D01ED">
        <w:rPr>
          <w:rFonts w:ascii="Arial" w:eastAsia="Calibri" w:hAnsi="Arial" w:cs="Arial"/>
          <w:sz w:val="22"/>
          <w:szCs w:val="22"/>
        </w:rPr>
        <w:t>nt</w:t>
      </w:r>
      <w:r w:rsidRPr="008D01ED">
        <w:rPr>
          <w:rFonts w:ascii="Arial" w:eastAsia="Calibri" w:hAnsi="Arial" w:cs="Arial"/>
          <w:spacing w:val="-13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p</w:t>
      </w:r>
      <w:r w:rsidRPr="008D01ED">
        <w:rPr>
          <w:rFonts w:ascii="Arial" w:eastAsia="Calibri" w:hAnsi="Arial" w:cs="Arial"/>
          <w:spacing w:val="-5"/>
          <w:sz w:val="22"/>
          <w:szCs w:val="22"/>
        </w:rPr>
        <w:t>o</w:t>
      </w:r>
      <w:r w:rsidRPr="008D01ED">
        <w:rPr>
          <w:rFonts w:ascii="Arial" w:eastAsia="Calibri" w:hAnsi="Arial" w:cs="Arial"/>
          <w:spacing w:val="6"/>
          <w:sz w:val="22"/>
          <w:szCs w:val="22"/>
        </w:rPr>
        <w:t>li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c</w:t>
      </w:r>
      <w:r w:rsidRPr="008D01ED">
        <w:rPr>
          <w:rFonts w:ascii="Arial" w:eastAsia="Calibri" w:hAnsi="Arial" w:cs="Arial"/>
          <w:sz w:val="22"/>
          <w:szCs w:val="22"/>
        </w:rPr>
        <w:t>y</w:t>
      </w:r>
      <w:r w:rsidRPr="008D01ED">
        <w:rPr>
          <w:rFonts w:ascii="Arial" w:eastAsia="Calibri" w:hAnsi="Arial" w:cs="Arial"/>
          <w:spacing w:val="-11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</w:t>
      </w:r>
      <w:r w:rsidRPr="008D01ED">
        <w:rPr>
          <w:rFonts w:ascii="Arial" w:eastAsia="Calibri" w:hAnsi="Arial" w:cs="Arial"/>
          <w:sz w:val="22"/>
          <w:szCs w:val="22"/>
        </w:rPr>
        <w:t>nd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 xml:space="preserve"> </w:t>
      </w:r>
      <w:proofErr w:type="gramStart"/>
      <w:r w:rsidRPr="008D01ED">
        <w:rPr>
          <w:rFonts w:ascii="Arial" w:eastAsia="Calibri" w:hAnsi="Arial" w:cs="Arial"/>
          <w:spacing w:val="-3"/>
          <w:sz w:val="22"/>
          <w:szCs w:val="22"/>
        </w:rPr>
        <w:t>st</w:t>
      </w:r>
      <w:r w:rsidRPr="008D01ED">
        <w:rPr>
          <w:rFonts w:ascii="Arial" w:eastAsia="Calibri" w:hAnsi="Arial" w:cs="Arial"/>
          <w:spacing w:val="1"/>
          <w:sz w:val="22"/>
          <w:szCs w:val="22"/>
        </w:rPr>
        <w:t>r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a</w:t>
      </w:r>
      <w:r w:rsidRPr="008D01ED">
        <w:rPr>
          <w:rFonts w:ascii="Arial" w:eastAsia="Calibri" w:hAnsi="Arial" w:cs="Arial"/>
          <w:spacing w:val="2"/>
          <w:sz w:val="22"/>
          <w:szCs w:val="22"/>
        </w:rPr>
        <w:t>t</w:t>
      </w:r>
      <w:r w:rsidRPr="008D01ED">
        <w:rPr>
          <w:rFonts w:ascii="Arial" w:eastAsia="Calibri" w:hAnsi="Arial" w:cs="Arial"/>
          <w:spacing w:val="-2"/>
          <w:sz w:val="22"/>
          <w:szCs w:val="22"/>
        </w:rPr>
        <w:t>e</w:t>
      </w:r>
      <w:r w:rsidRPr="008D01ED">
        <w:rPr>
          <w:rFonts w:ascii="Arial" w:eastAsia="Calibri" w:hAnsi="Arial" w:cs="Arial"/>
          <w:spacing w:val="-3"/>
          <w:sz w:val="22"/>
          <w:szCs w:val="22"/>
        </w:rPr>
        <w:t>g</w:t>
      </w:r>
      <w:r w:rsidRPr="008D01ED">
        <w:rPr>
          <w:rFonts w:ascii="Arial" w:eastAsia="Calibri" w:hAnsi="Arial" w:cs="Arial"/>
          <w:sz w:val="22"/>
          <w:szCs w:val="22"/>
        </w:rPr>
        <w:t>y;</w:t>
      </w:r>
      <w:proofErr w:type="gramEnd"/>
    </w:p>
    <w:p w14:paraId="383ABC11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sz w:val="22"/>
          <w:szCs w:val="22"/>
        </w:rPr>
      </w:pPr>
    </w:p>
    <w:p w14:paraId="404DBA2F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6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b/>
          <w:color w:val="000000"/>
          <w:sz w:val="22"/>
          <w:szCs w:val="22"/>
        </w:rPr>
        <w:t>Contracts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00EC6708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6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</w:t>
      </w:r>
      <w:r w:rsidR="00E44AE4" w:rsidRPr="008D01ED">
        <w:rPr>
          <w:rFonts w:ascii="Arial" w:eastAsia="Calibri" w:hAnsi="Arial" w:cs="Arial"/>
          <w:color w:val="000000"/>
          <w:sz w:val="22"/>
          <w:szCs w:val="22"/>
        </w:rPr>
        <w:t xml:space="preserve">and monitoring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of agreements with service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providers;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08395C1A" w14:textId="77777777" w:rsidR="00F26D3D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6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.2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Review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of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 xml:space="preserve"> the performance of and contractual arrangements with the </w:t>
      </w:r>
      <w:proofErr w:type="gramStart"/>
      <w:r w:rsidR="00FB7C91" w:rsidRPr="008D01ED">
        <w:rPr>
          <w:rFonts w:ascii="Arial" w:eastAsia="Calibri" w:hAnsi="Arial" w:cs="Arial"/>
          <w:color w:val="000000"/>
          <w:sz w:val="22"/>
          <w:szCs w:val="22"/>
        </w:rPr>
        <w:t>Adviser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;</w:t>
      </w:r>
      <w:proofErr w:type="gramEnd"/>
    </w:p>
    <w:p w14:paraId="1B8EFBC9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6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.3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Pr="008D01ED">
        <w:rPr>
          <w:rFonts w:ascii="Arial" w:eastAsia="Calibri" w:hAnsi="Arial" w:cs="Arial"/>
          <w:color w:val="000000"/>
          <w:sz w:val="22"/>
          <w:szCs w:val="22"/>
        </w:rPr>
        <w:t>Approval of c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ontracts which are material strategically or by reason of size,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entered into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by the Company in the ordinary course of business, for example bank borrowings.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75DFEAF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6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4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Pr="008D01ED">
        <w:rPr>
          <w:rFonts w:ascii="Arial" w:eastAsia="Calibri" w:hAnsi="Arial" w:cs="Arial"/>
          <w:color w:val="000000"/>
          <w:sz w:val="22"/>
          <w:szCs w:val="22"/>
        </w:rPr>
        <w:t>Approval of c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ontracts of the company not in the ordinary course of business, for example loans and repayments or acquisitions or disposals.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C006BA8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sz w:val="22"/>
          <w:szCs w:val="22"/>
        </w:rPr>
      </w:pPr>
    </w:p>
    <w:p w14:paraId="472EF9BA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Communication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702F2B69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Ensuring a satisfactory dialogue with shareholders based on the mutual understanding of objectives.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CA148FD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.2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resolutions and corresponding documentation to be put forward to shareholders at a general meeting.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3279F6D7" w14:textId="77777777" w:rsidR="00221B5B" w:rsidRPr="008D01ED" w:rsidRDefault="006C2DDE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.3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all circulars,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prospectuses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and listing particulars.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0BFF6349" w14:textId="77777777" w:rsidR="00F26D3D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.4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Approval of press releases concerning matters decided by the board. </w:t>
      </w:r>
    </w:p>
    <w:p w14:paraId="5F909E71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.5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ab/>
        <w:t>Approval of marketing and shareholder communication strategies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A1B345C" w14:textId="77777777" w:rsidR="00F26D3D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.6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ab/>
        <w:t>Ensuring that full information about the Board is disclosed in the annual report.</w:t>
      </w:r>
    </w:p>
    <w:p w14:paraId="10B48910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sz w:val="22"/>
          <w:szCs w:val="22"/>
        </w:rPr>
      </w:pPr>
    </w:p>
    <w:p w14:paraId="78FAE3E8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b/>
          <w:color w:val="000000"/>
          <w:sz w:val="22"/>
          <w:szCs w:val="22"/>
        </w:rPr>
        <w:t>Board membership and other appointments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4C0624DB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Changes to the structure,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size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and composition of the Board, following recommendations from the nomination committee.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22C0BCDA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lastRenderedPageBreak/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.2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Ensuring adequate succession planning for the Board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so as to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maintain an appropriate balance of skills and experience within the company and on the Board. </w:t>
      </w:r>
    </w:p>
    <w:p w14:paraId="5719C21F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Appointments to the Board, following recommendations by the nomination committee.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123911AE" w14:textId="6BBAE651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.4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Selection of the chair of the Board.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326801B3" w14:textId="56424A7C" w:rsidR="00221B5B" w:rsidRPr="008D01ED" w:rsidRDefault="006C2DDE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.5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Appointment of the senior independent director to provide a sounding board for the chair and to serve as intermediary for the other directors when necessary or appointment of Chair of the Audit Committee to fulfil this role.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5B16006D" w14:textId="77777777" w:rsidR="00221B5B" w:rsidRPr="008D01ED" w:rsidRDefault="006C2DDE" w:rsidP="00221B5B">
      <w:pPr>
        <w:tabs>
          <w:tab w:val="left" w:pos="8472"/>
        </w:tabs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.6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Membership and chairmanship of board committees following recommendations from the Nominations &amp; Remuneration Committee.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761B2B9D" w14:textId="77777777" w:rsidR="00221B5B" w:rsidRPr="008D01ED" w:rsidRDefault="006C2DDE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>7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Appointment or removal of the company secretary. </w:t>
      </w:r>
    </w:p>
    <w:p w14:paraId="0B6513F5" w14:textId="77777777" w:rsidR="00221B5B" w:rsidRPr="008D01ED" w:rsidRDefault="006C2DDE" w:rsidP="00D1448F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>8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Appointment,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reappointment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or removal of the external auditor to be put to shareholders for approval in general meeting, following the recommendation of the Audit Committee. </w:t>
      </w:r>
    </w:p>
    <w:p w14:paraId="3FBB6376" w14:textId="77777777" w:rsidR="00D1448F" w:rsidRPr="008D01ED" w:rsidRDefault="00D1448F" w:rsidP="00FB7C91">
      <w:pPr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8.9: </w:t>
      </w:r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ab/>
        <w:t xml:space="preserve">Appointment or removal of other service providers including the registrar, legal </w:t>
      </w:r>
      <w:proofErr w:type="gramStart"/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>adviser</w:t>
      </w:r>
      <w:proofErr w:type="gramEnd"/>
      <w:r w:rsidRPr="008D01ED">
        <w:rPr>
          <w:rFonts w:ascii="Arial" w:hAnsi="Arial" w:cs="Arial"/>
          <w:color w:val="000000"/>
          <w:sz w:val="22"/>
          <w:szCs w:val="22"/>
          <w:lang w:eastAsia="en-GB"/>
        </w:rPr>
        <w:t xml:space="preserve"> and corporate broker.</w:t>
      </w:r>
    </w:p>
    <w:p w14:paraId="12E38E52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sz w:val="22"/>
          <w:szCs w:val="22"/>
        </w:rPr>
      </w:pPr>
    </w:p>
    <w:p w14:paraId="3ED79B35" w14:textId="77777777" w:rsidR="00221B5B" w:rsidRPr="008D01ED" w:rsidRDefault="006C2DDE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9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b/>
          <w:color w:val="000000"/>
          <w:sz w:val="22"/>
          <w:szCs w:val="22"/>
        </w:rPr>
        <w:t xml:space="preserve">Remuneration </w:t>
      </w:r>
    </w:p>
    <w:p w14:paraId="706A1BAA" w14:textId="77777777" w:rsidR="00221B5B" w:rsidRPr="008D01ED" w:rsidRDefault="006C2DDE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9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Determining the remuneration of the non-executive directors, subject to the articles of association and shareholder approval as appropriate. </w:t>
      </w:r>
    </w:p>
    <w:p w14:paraId="31B439AD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A15717F" w14:textId="77777777" w:rsidR="00221B5B" w:rsidRPr="008D01ED" w:rsidRDefault="006C2DDE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10</w:t>
      </w:r>
      <w:r w:rsidR="00221B5B" w:rsidRPr="008D01E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Delegation of authority </w:t>
      </w:r>
    </w:p>
    <w:p w14:paraId="53AFF232" w14:textId="77777777" w:rsidR="00221B5B" w:rsidRPr="008D01ED" w:rsidRDefault="00AB6EFC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10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Agreeing policies with the </w:t>
      </w:r>
      <w:r w:rsidR="00FB7C91" w:rsidRPr="008D01ED">
        <w:rPr>
          <w:rFonts w:ascii="Arial" w:eastAsia="Calibri" w:hAnsi="Arial" w:cs="Arial"/>
          <w:color w:val="000000"/>
          <w:sz w:val="22"/>
          <w:szCs w:val="22"/>
        </w:rPr>
        <w:t>Adviser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covering key operational issues.</w:t>
      </w:r>
    </w:p>
    <w:p w14:paraId="1FEB58EF" w14:textId="77777777" w:rsidR="00221B5B" w:rsidRPr="008D01ED" w:rsidRDefault="00AB6EFC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10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.2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Establishing board committees and approving their terms of reference, and approving material changes thereto. </w:t>
      </w:r>
    </w:p>
    <w:p w14:paraId="22BF8A77" w14:textId="77777777" w:rsidR="00221B5B" w:rsidRPr="008D01ED" w:rsidRDefault="00AB6EFC" w:rsidP="00221B5B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10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6C2DDE" w:rsidRPr="008D01ED">
        <w:rPr>
          <w:rFonts w:ascii="Arial" w:eastAsia="Calibri" w:hAnsi="Arial" w:cs="Arial"/>
          <w:color w:val="000000"/>
          <w:sz w:val="22"/>
          <w:szCs w:val="22"/>
        </w:rPr>
        <w:t>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Receiving reports from board committees on their activities. </w:t>
      </w:r>
    </w:p>
    <w:p w14:paraId="292FAF34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25612BAB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bCs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Corporate governance matters </w:t>
      </w:r>
    </w:p>
    <w:p w14:paraId="1BD5076E" w14:textId="77777777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Undertaking a formal and rigorous annual review of its own performance, that of its committees and individual directors, and the division of responsibilities. </w:t>
      </w:r>
    </w:p>
    <w:p w14:paraId="568AC54D" w14:textId="48304FFD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.2  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Determining the independence of non-executive directors </w:t>
      </w:r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 xml:space="preserve">and the Chair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in light of</w:t>
      </w:r>
      <w:proofErr w:type="gramEnd"/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their character, judgment and relationships. </w:t>
      </w:r>
    </w:p>
    <w:p w14:paraId="24BFF99C" w14:textId="77777777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.3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Considering the balance of interests between shareholders, employees,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customers</w:t>
      </w:r>
      <w:proofErr w:type="gramEnd"/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and the community. </w:t>
      </w:r>
    </w:p>
    <w:p w14:paraId="73D798F4" w14:textId="77777777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.4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Review of the Company’s overall corporate governance arrangements. </w:t>
      </w:r>
    </w:p>
    <w:p w14:paraId="3113CD31" w14:textId="77777777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.5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Receiving reports on the views of the Company’s shareholders to ensure that they are communicated to the Board as a whole. </w:t>
      </w:r>
    </w:p>
    <w:p w14:paraId="5FB390B7" w14:textId="77777777" w:rsidR="00221B5B" w:rsidRPr="008D01ED" w:rsidRDefault="00221B5B" w:rsidP="00F26D3D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.6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Authorising conflicts of interest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where</w:t>
      </w:r>
      <w:proofErr w:type="gramEnd"/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 permitted by the Company’s articles of association. </w:t>
      </w:r>
    </w:p>
    <w:p w14:paraId="06C39400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8117D79" w14:textId="77777777" w:rsidR="00221B5B" w:rsidRPr="008D01ED" w:rsidRDefault="00C10035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12</w:t>
      </w:r>
      <w:r w:rsidR="00221B5B" w:rsidRPr="008D01E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Policies </w:t>
      </w:r>
    </w:p>
    <w:p w14:paraId="72074AA5" w14:textId="77777777" w:rsidR="00221B5B" w:rsidRPr="008D01ED" w:rsidRDefault="00C10035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12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.1 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Approval of policies, including: </w:t>
      </w:r>
    </w:p>
    <w:p w14:paraId="1CC784EB" w14:textId="77777777" w:rsidR="00221B5B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Code of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Conduct;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D42F148" w14:textId="77777777" w:rsidR="00221B5B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Share dealing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code;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C2F1CB0" w14:textId="77777777" w:rsidR="00221B5B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>Anti-</w:t>
      </w:r>
      <w:r w:rsidR="003A4E2E" w:rsidRPr="008D01ED">
        <w:rPr>
          <w:rFonts w:ascii="Arial" w:eastAsia="Calibri" w:hAnsi="Arial" w:cs="Arial"/>
          <w:color w:val="000000"/>
          <w:sz w:val="22"/>
          <w:szCs w:val="22"/>
        </w:rPr>
        <w:t>b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ribery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policy;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66C7B5B" w14:textId="77777777" w:rsidR="003A4E2E" w:rsidRPr="008D01ED" w:rsidRDefault="003A4E2E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Anti-tax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evasion;</w:t>
      </w:r>
      <w:proofErr w:type="gramEnd"/>
    </w:p>
    <w:p w14:paraId="7AC52FCA" w14:textId="77777777" w:rsidR="003A4E2E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Whistleblowing </w:t>
      </w:r>
      <w:proofErr w:type="gramStart"/>
      <w:r w:rsidR="00173470" w:rsidRPr="008D01ED">
        <w:rPr>
          <w:rFonts w:ascii="Arial" w:eastAsia="Calibri" w:hAnsi="Arial" w:cs="Arial"/>
          <w:color w:val="000000"/>
          <w:sz w:val="22"/>
          <w:szCs w:val="22"/>
        </w:rPr>
        <w:t>policy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;</w:t>
      </w:r>
      <w:proofErr w:type="gramEnd"/>
    </w:p>
    <w:p w14:paraId="79C76180" w14:textId="77777777" w:rsidR="00221B5B" w:rsidRPr="008D01ED" w:rsidRDefault="003A4E2E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Data protection and privacy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policy;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0F454EC" w14:textId="77777777" w:rsidR="00F26D3D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F26D3D" w:rsidRPr="008D01ED">
        <w:rPr>
          <w:rFonts w:ascii="Arial" w:eastAsia="Calibri" w:hAnsi="Arial" w:cs="Arial"/>
          <w:color w:val="000000"/>
          <w:sz w:val="22"/>
          <w:szCs w:val="22"/>
        </w:rPr>
        <w:t>Tenure;</w:t>
      </w:r>
      <w:proofErr w:type="gramEnd"/>
    </w:p>
    <w:p w14:paraId="686AD173" w14:textId="77777777" w:rsidR="002C2F7F" w:rsidRPr="008D01ED" w:rsidRDefault="002C2F7F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 xml:space="preserve">-    </w:t>
      </w:r>
      <w:proofErr w:type="gramStart"/>
      <w:r w:rsidRPr="008D01ED">
        <w:rPr>
          <w:rFonts w:ascii="Arial" w:eastAsia="Calibri" w:hAnsi="Arial" w:cs="Arial"/>
          <w:color w:val="000000"/>
          <w:sz w:val="22"/>
          <w:szCs w:val="22"/>
        </w:rPr>
        <w:t>Diversity;</w:t>
      </w:r>
      <w:proofErr w:type="gramEnd"/>
    </w:p>
    <w:p w14:paraId="64F22262" w14:textId="77777777" w:rsidR="00221B5B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3A4E2E" w:rsidRPr="008D01ED">
        <w:rPr>
          <w:rFonts w:ascii="Arial" w:eastAsia="Calibri" w:hAnsi="Arial" w:cs="Arial"/>
          <w:color w:val="000000"/>
          <w:sz w:val="22"/>
          <w:szCs w:val="22"/>
        </w:rPr>
        <w:t>Social and e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nvironment</w:t>
      </w:r>
      <w:r w:rsidR="003A4E2E" w:rsidRPr="008D01ED">
        <w:rPr>
          <w:rFonts w:ascii="Arial" w:eastAsia="Calibri" w:hAnsi="Arial" w:cs="Arial"/>
          <w:color w:val="000000"/>
          <w:sz w:val="22"/>
          <w:szCs w:val="22"/>
        </w:rPr>
        <w:t>al</w:t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 xml:space="preserve"> responsibility (including </w:t>
      </w:r>
      <w:r w:rsidR="003A4E2E" w:rsidRPr="008D01ED">
        <w:rPr>
          <w:rFonts w:ascii="Arial" w:eastAsia="Calibri" w:hAnsi="Arial" w:cs="Arial"/>
          <w:color w:val="000000"/>
          <w:sz w:val="22"/>
          <w:szCs w:val="22"/>
        </w:rPr>
        <w:t xml:space="preserve">global </w:t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>greenhouse emissions) and human rights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polic</w:t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 xml:space="preserve">ies as appropriate to the </w:t>
      </w:r>
      <w:proofErr w:type="gramStart"/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>VCT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;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81E023D" w14:textId="77777777" w:rsidR="00221B5B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Communications policy </w:t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>(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including procedures for </w:t>
      </w:r>
      <w:r w:rsidR="003A4E2E" w:rsidRPr="008D01ED">
        <w:rPr>
          <w:rFonts w:ascii="Arial" w:eastAsia="Calibri" w:hAnsi="Arial" w:cs="Arial"/>
          <w:color w:val="000000"/>
          <w:sz w:val="22"/>
          <w:szCs w:val="22"/>
        </w:rPr>
        <w:t xml:space="preserve">compliance with Market Abuse Regulations and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the release</w:t>
      </w:r>
      <w:r w:rsidR="002C2F7F" w:rsidRPr="008D01ED">
        <w:rPr>
          <w:rFonts w:ascii="Arial" w:eastAsia="Calibri" w:hAnsi="Arial" w:cs="Arial"/>
          <w:color w:val="000000"/>
          <w:sz w:val="22"/>
          <w:szCs w:val="22"/>
        </w:rPr>
        <w:t xml:space="preserve"> of price-sensitive information)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; and </w:t>
      </w:r>
    </w:p>
    <w:p w14:paraId="7248A291" w14:textId="77777777" w:rsidR="002C2F7F" w:rsidRPr="008D01ED" w:rsidRDefault="00AB6EFC" w:rsidP="009F2B63">
      <w:pPr>
        <w:autoSpaceDE w:val="0"/>
        <w:autoSpaceDN w:val="0"/>
        <w:adjustRightInd w:val="0"/>
        <w:ind w:left="1361" w:hanging="22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-</w:t>
      </w:r>
      <w:r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Charitable donations policy</w:t>
      </w:r>
    </w:p>
    <w:p w14:paraId="67918EA8" w14:textId="77777777" w:rsidR="00221B5B" w:rsidRPr="008D01ED" w:rsidRDefault="00221B5B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</w:p>
    <w:p w14:paraId="561AB825" w14:textId="77777777" w:rsidR="00221B5B" w:rsidRPr="008D01ED" w:rsidRDefault="00C10035" w:rsidP="00221B5B">
      <w:pPr>
        <w:autoSpaceDE w:val="0"/>
        <w:autoSpaceDN w:val="0"/>
        <w:adjustRightInd w:val="0"/>
        <w:ind w:left="567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bCs/>
          <w:color w:val="000000"/>
          <w:sz w:val="22"/>
          <w:szCs w:val="22"/>
        </w:rPr>
        <w:t>13</w:t>
      </w:r>
      <w:r w:rsidR="00221B5B" w:rsidRPr="008D01ED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b/>
          <w:bCs/>
          <w:color w:val="000000"/>
          <w:sz w:val="22"/>
          <w:szCs w:val="22"/>
        </w:rPr>
        <w:tab/>
        <w:t xml:space="preserve">Other </w:t>
      </w:r>
    </w:p>
    <w:p w14:paraId="5A17399C" w14:textId="77777777" w:rsidR="00442F97" w:rsidRPr="008D01ED" w:rsidRDefault="00C10035" w:rsidP="009F2B63">
      <w:pPr>
        <w:spacing w:line="280" w:lineRule="exact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AB6EFC" w:rsidRPr="008D01ED">
        <w:rPr>
          <w:rFonts w:ascii="Arial" w:eastAsia="Calibri" w:hAnsi="Arial" w:cs="Arial"/>
          <w:color w:val="000000"/>
          <w:sz w:val="22"/>
          <w:szCs w:val="22"/>
        </w:rPr>
        <w:t>1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>M</w:t>
      </w:r>
      <w:r w:rsidR="00442F97" w:rsidRPr="008D01ED">
        <w:rPr>
          <w:rFonts w:ascii="Arial" w:hAnsi="Arial" w:cs="Arial"/>
          <w:sz w:val="22"/>
          <w:szCs w:val="22"/>
        </w:rPr>
        <w:t>onitoring the level of the share price discount or premium (if any) and, if desirable, taking action to reduce it.</w:t>
      </w:r>
    </w:p>
    <w:p w14:paraId="4809EB2A" w14:textId="77777777" w:rsidR="00221B5B" w:rsidRPr="008D01ED" w:rsidRDefault="00C10035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13</w:t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>.2</w:t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Prosecution, commencement, defence or settlement of litigation, or an alternative dispute resolution mechanism. </w:t>
      </w:r>
    </w:p>
    <w:p w14:paraId="3F8F8DC3" w14:textId="77777777" w:rsidR="00221B5B" w:rsidRPr="008D01ED" w:rsidRDefault="00C10035" w:rsidP="009F2B63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>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>Approval of Directors and Officers Liability insurance for the Company.</w:t>
      </w:r>
    </w:p>
    <w:p w14:paraId="013E5413" w14:textId="77777777" w:rsidR="00221B5B" w:rsidRPr="008D01ED" w:rsidRDefault="00C10035" w:rsidP="00F00D3F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>4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  <w:t xml:space="preserve">Any decision likely to have a material impact on the company from any perspective, including, but not limited to, financial, operational, </w:t>
      </w:r>
      <w:proofErr w:type="gramStart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strategic</w:t>
      </w:r>
      <w:proofErr w:type="gramEnd"/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or reputational. </w:t>
      </w:r>
    </w:p>
    <w:p w14:paraId="4F2C1566" w14:textId="77777777" w:rsidR="00D03181" w:rsidRPr="008D01ED" w:rsidRDefault="00C10035" w:rsidP="00F00D3F">
      <w:pPr>
        <w:pStyle w:val="Header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  <w:r w:rsidRPr="008D01ED">
        <w:rPr>
          <w:rFonts w:ascii="Arial" w:eastAsia="Calibri" w:hAnsi="Arial" w:cs="Arial"/>
          <w:color w:val="000000"/>
          <w:sz w:val="22"/>
          <w:szCs w:val="22"/>
        </w:rPr>
        <w:t>13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>.</w:t>
      </w:r>
      <w:r w:rsidR="00442F97" w:rsidRPr="008D01ED">
        <w:rPr>
          <w:rFonts w:ascii="Arial" w:eastAsia="Calibri" w:hAnsi="Arial" w:cs="Arial"/>
          <w:color w:val="000000"/>
          <w:sz w:val="22"/>
          <w:szCs w:val="22"/>
        </w:rPr>
        <w:t>5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ab/>
      </w:r>
      <w:r w:rsidR="006E5BD1" w:rsidRPr="008D01ED">
        <w:rPr>
          <w:rFonts w:ascii="Arial" w:eastAsia="Calibri" w:hAnsi="Arial" w:cs="Arial"/>
          <w:color w:val="000000"/>
          <w:sz w:val="22"/>
          <w:szCs w:val="22"/>
        </w:rPr>
        <w:t>Approval of t</w:t>
      </w:r>
      <w:r w:rsidR="00221B5B" w:rsidRPr="008D01ED">
        <w:rPr>
          <w:rFonts w:ascii="Arial" w:eastAsia="Calibri" w:hAnsi="Arial" w:cs="Arial"/>
          <w:color w:val="000000"/>
          <w:sz w:val="22"/>
          <w:szCs w:val="22"/>
        </w:rPr>
        <w:t xml:space="preserve">his schedule of matters reserved for Board decisions. </w:t>
      </w:r>
    </w:p>
    <w:p w14:paraId="693DC23F" w14:textId="77777777" w:rsidR="006E5BD1" w:rsidRPr="008D01ED" w:rsidRDefault="006E5BD1" w:rsidP="00F00D3F">
      <w:pPr>
        <w:pStyle w:val="Header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</w:p>
    <w:p w14:paraId="0151C82D" w14:textId="77777777" w:rsidR="006E5BD1" w:rsidRPr="008D01ED" w:rsidRDefault="006E5BD1" w:rsidP="00F00D3F">
      <w:pPr>
        <w:autoSpaceDE w:val="0"/>
        <w:autoSpaceDN w:val="0"/>
        <w:adjustRightInd w:val="0"/>
        <w:ind w:left="1134" w:hanging="567"/>
        <w:rPr>
          <w:rFonts w:ascii="Arial" w:eastAsia="Calibri" w:hAnsi="Arial" w:cs="Arial"/>
          <w:color w:val="000000"/>
          <w:sz w:val="22"/>
          <w:szCs w:val="22"/>
        </w:rPr>
      </w:pPr>
    </w:p>
    <w:p w14:paraId="39791F4B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962"/>
      </w:tblGrid>
      <w:tr w:rsidR="008D01ED" w:rsidRPr="008D01ED" w14:paraId="791B60A8" w14:textId="77777777" w:rsidTr="0009233E">
        <w:tc>
          <w:tcPr>
            <w:tcW w:w="3962" w:type="dxa"/>
          </w:tcPr>
          <w:p w14:paraId="2F6CB9A9" w14:textId="77777777" w:rsidR="008D01ED" w:rsidRPr="008D01ED" w:rsidRDefault="008D01ED" w:rsidP="000923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D01E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Reviewed &amp; Approved</w:t>
            </w:r>
          </w:p>
        </w:tc>
      </w:tr>
      <w:tr w:rsidR="008D01ED" w:rsidRPr="008D01ED" w14:paraId="0ED84A5C" w14:textId="77777777" w:rsidTr="0009233E">
        <w:tc>
          <w:tcPr>
            <w:tcW w:w="3962" w:type="dxa"/>
          </w:tcPr>
          <w:p w14:paraId="2A580C30" w14:textId="007967B1" w:rsidR="002B19BF" w:rsidRPr="008D01ED" w:rsidRDefault="00C85104" w:rsidP="0009233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  <w:r w:rsidR="008D01E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November</w:t>
            </w:r>
            <w:r w:rsidR="008D01ED" w:rsidRPr="008D01ED">
              <w:rPr>
                <w:rFonts w:ascii="Arial" w:eastAsia="Times New Roman" w:hAnsi="Arial" w:cs="Arial"/>
                <w:color w:val="000000"/>
                <w:lang w:eastAsia="en-GB"/>
              </w:rPr>
              <w:t xml:space="preserve"> 202</w:t>
            </w:r>
            <w:r w:rsidR="002B19BF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</w:tbl>
    <w:p w14:paraId="1AA95263" w14:textId="77777777" w:rsidR="008D01ED" w:rsidRPr="008D01ED" w:rsidRDefault="008D01ED" w:rsidP="008D01ED">
      <w:pPr>
        <w:tabs>
          <w:tab w:val="center" w:pos="4513"/>
          <w:tab w:val="right" w:pos="9026"/>
        </w:tabs>
        <w:rPr>
          <w:rFonts w:ascii="Arial" w:hAnsi="Arial" w:cs="Arial"/>
        </w:rPr>
      </w:pPr>
    </w:p>
    <w:p w14:paraId="76B25BE2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337BD806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311B3FD0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7D6BDC09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2DE53E6E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4E98D0DC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57916C06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00EA15CC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2F52F100" w14:textId="77777777" w:rsidR="00F00D3F" w:rsidRPr="008D01ED" w:rsidRDefault="00F00D3F" w:rsidP="00F00D3F">
      <w:pPr>
        <w:rPr>
          <w:rFonts w:ascii="Arial" w:hAnsi="Arial" w:cs="Arial"/>
          <w:sz w:val="22"/>
          <w:szCs w:val="22"/>
        </w:rPr>
      </w:pPr>
    </w:p>
    <w:p w14:paraId="1BF46831" w14:textId="77777777" w:rsidR="006E5BD1" w:rsidRPr="008D01ED" w:rsidRDefault="006E5BD1" w:rsidP="00F00D3F">
      <w:pPr>
        <w:rPr>
          <w:rFonts w:ascii="Arial" w:hAnsi="Arial" w:cs="Arial"/>
          <w:sz w:val="22"/>
          <w:szCs w:val="22"/>
        </w:rPr>
      </w:pPr>
    </w:p>
    <w:sectPr w:rsidR="006E5BD1" w:rsidRPr="008D01ED" w:rsidSect="00FB7C91">
      <w:headerReference w:type="default" r:id="rId10"/>
      <w:pgSz w:w="11906" w:h="16838"/>
      <w:pgMar w:top="1304" w:right="1588" w:bottom="119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7592" w14:textId="77777777" w:rsidR="003A5B54" w:rsidRDefault="003A5B54" w:rsidP="00442F97">
      <w:r>
        <w:separator/>
      </w:r>
    </w:p>
  </w:endnote>
  <w:endnote w:type="continuationSeparator" w:id="0">
    <w:p w14:paraId="3D9E2E44" w14:textId="77777777" w:rsidR="003A5B54" w:rsidRDefault="003A5B54" w:rsidP="004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E0F4" w14:textId="77777777" w:rsidR="003A5B54" w:rsidRDefault="003A5B54" w:rsidP="00442F97">
      <w:r>
        <w:separator/>
      </w:r>
    </w:p>
  </w:footnote>
  <w:footnote w:type="continuationSeparator" w:id="0">
    <w:p w14:paraId="041657AC" w14:textId="77777777" w:rsidR="003A5B54" w:rsidRDefault="003A5B54" w:rsidP="0044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3CBA" w14:textId="77777777" w:rsidR="00442F97" w:rsidRPr="009F2B63" w:rsidRDefault="00442F97" w:rsidP="009F2B63">
    <w:pPr>
      <w:pStyle w:val="Header"/>
      <w:jc w:val="right"/>
      <w:rPr>
        <w:rFonts w:ascii="Myriad Pro" w:hAnsi="Myriad 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E2C"/>
    <w:multiLevelType w:val="singleLevel"/>
    <w:tmpl w:val="4A62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371E1B"/>
    <w:multiLevelType w:val="hybridMultilevel"/>
    <w:tmpl w:val="3858DBB4"/>
    <w:lvl w:ilvl="0" w:tplc="08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7238C"/>
    <w:multiLevelType w:val="multilevel"/>
    <w:tmpl w:val="264C95D2"/>
    <w:lvl w:ilvl="0">
      <w:start w:val="1"/>
      <w:numFmt w:val="none"/>
      <w:lvlText w:val="(a)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C24919"/>
    <w:multiLevelType w:val="hybridMultilevel"/>
    <w:tmpl w:val="021A1CAE"/>
    <w:lvl w:ilvl="0" w:tplc="33165AC4">
      <w:start w:val="1"/>
      <w:numFmt w:val="decimal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36F48"/>
    <w:multiLevelType w:val="hybridMultilevel"/>
    <w:tmpl w:val="FD4A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943CD"/>
    <w:multiLevelType w:val="hybridMultilevel"/>
    <w:tmpl w:val="5DE6C586"/>
    <w:lvl w:ilvl="0" w:tplc="7AF6C0C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25F58"/>
    <w:multiLevelType w:val="hybridMultilevel"/>
    <w:tmpl w:val="264C95D2"/>
    <w:lvl w:ilvl="0" w:tplc="0EECFACA">
      <w:start w:val="1"/>
      <w:numFmt w:val="none"/>
      <w:lvlText w:val="(a)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1" w:tplc="6820137A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867C00"/>
    <w:multiLevelType w:val="singleLevel"/>
    <w:tmpl w:val="E3B09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EF59B7"/>
    <w:multiLevelType w:val="hybridMultilevel"/>
    <w:tmpl w:val="2F9E3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06BFD"/>
    <w:multiLevelType w:val="multilevel"/>
    <w:tmpl w:val="6E845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270D9E"/>
    <w:multiLevelType w:val="hybridMultilevel"/>
    <w:tmpl w:val="F0046250"/>
    <w:lvl w:ilvl="0" w:tplc="A9B62806">
      <w:start w:val="1"/>
      <w:numFmt w:val="none"/>
      <w:lvlText w:val="(a)"/>
      <w:lvlJc w:val="left"/>
      <w:pPr>
        <w:tabs>
          <w:tab w:val="num" w:pos="720"/>
        </w:tabs>
        <w:ind w:left="1436" w:hanging="143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916020"/>
    <w:multiLevelType w:val="multilevel"/>
    <w:tmpl w:val="337EBDF0"/>
    <w:lvl w:ilvl="0">
      <w:start w:val="1"/>
      <w:numFmt w:val="none"/>
      <w:lvlText w:val="(a)"/>
      <w:lvlJc w:val="left"/>
      <w:pPr>
        <w:tabs>
          <w:tab w:val="num" w:pos="720"/>
        </w:tabs>
        <w:ind w:left="1436" w:hanging="143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A7EE7"/>
    <w:multiLevelType w:val="hybridMultilevel"/>
    <w:tmpl w:val="A9D0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36FBC"/>
    <w:multiLevelType w:val="hybridMultilevel"/>
    <w:tmpl w:val="AE64DAAE"/>
    <w:lvl w:ilvl="0" w:tplc="D2F492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yriad Pro" w:hAnsi="Myriad Pro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0741F"/>
    <w:multiLevelType w:val="multilevel"/>
    <w:tmpl w:val="BBD2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90261"/>
    <w:multiLevelType w:val="multilevel"/>
    <w:tmpl w:val="264C95D2"/>
    <w:lvl w:ilvl="0">
      <w:start w:val="1"/>
      <w:numFmt w:val="none"/>
      <w:lvlText w:val="(a)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A16FDD"/>
    <w:multiLevelType w:val="hybridMultilevel"/>
    <w:tmpl w:val="98626D86"/>
    <w:lvl w:ilvl="0" w:tplc="D08ACEB2">
      <w:start w:val="1"/>
      <w:numFmt w:val="none"/>
      <w:lvlText w:val="(a)"/>
      <w:lvlJc w:val="left"/>
      <w:pPr>
        <w:tabs>
          <w:tab w:val="num" w:pos="72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839493">
    <w:abstractNumId w:val="7"/>
  </w:num>
  <w:num w:numId="2" w16cid:durableId="1769813218">
    <w:abstractNumId w:val="6"/>
  </w:num>
  <w:num w:numId="3" w16cid:durableId="662201306">
    <w:abstractNumId w:val="3"/>
  </w:num>
  <w:num w:numId="4" w16cid:durableId="2061442037">
    <w:abstractNumId w:val="12"/>
  </w:num>
  <w:num w:numId="5" w16cid:durableId="1615558152">
    <w:abstractNumId w:val="4"/>
  </w:num>
  <w:num w:numId="6" w16cid:durableId="597443411">
    <w:abstractNumId w:val="9"/>
  </w:num>
  <w:num w:numId="7" w16cid:durableId="596328246">
    <w:abstractNumId w:val="15"/>
  </w:num>
  <w:num w:numId="8" w16cid:durableId="463235589">
    <w:abstractNumId w:val="2"/>
  </w:num>
  <w:num w:numId="9" w16cid:durableId="359356751">
    <w:abstractNumId w:val="16"/>
  </w:num>
  <w:num w:numId="10" w16cid:durableId="156192588">
    <w:abstractNumId w:val="10"/>
  </w:num>
  <w:num w:numId="11" w16cid:durableId="220289878">
    <w:abstractNumId w:val="11"/>
  </w:num>
  <w:num w:numId="12" w16cid:durableId="1930191320">
    <w:abstractNumId w:val="8"/>
  </w:num>
  <w:num w:numId="13" w16cid:durableId="2080668640">
    <w:abstractNumId w:val="0"/>
  </w:num>
  <w:num w:numId="14" w16cid:durableId="1212115473">
    <w:abstractNumId w:val="13"/>
  </w:num>
  <w:num w:numId="15" w16cid:durableId="658079705">
    <w:abstractNumId w:val="5"/>
  </w:num>
  <w:num w:numId="16" w16cid:durableId="949623018">
    <w:abstractNumId w:val="14"/>
  </w:num>
  <w:num w:numId="17" w16cid:durableId="77440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C26"/>
    <w:rsid w:val="000C2AA3"/>
    <w:rsid w:val="000C579D"/>
    <w:rsid w:val="00173470"/>
    <w:rsid w:val="001D50FB"/>
    <w:rsid w:val="001F6C2A"/>
    <w:rsid w:val="00221B5B"/>
    <w:rsid w:val="002419CF"/>
    <w:rsid w:val="002A7C26"/>
    <w:rsid w:val="002B19BF"/>
    <w:rsid w:val="002C2F7F"/>
    <w:rsid w:val="00304348"/>
    <w:rsid w:val="003149B0"/>
    <w:rsid w:val="0031591F"/>
    <w:rsid w:val="00341B05"/>
    <w:rsid w:val="003A357A"/>
    <w:rsid w:val="003A4E2E"/>
    <w:rsid w:val="003A5B54"/>
    <w:rsid w:val="003B7F2A"/>
    <w:rsid w:val="003D1C3D"/>
    <w:rsid w:val="003D7752"/>
    <w:rsid w:val="003F5E28"/>
    <w:rsid w:val="0043631D"/>
    <w:rsid w:val="00442F97"/>
    <w:rsid w:val="004542A1"/>
    <w:rsid w:val="00457953"/>
    <w:rsid w:val="004B69B1"/>
    <w:rsid w:val="004C49F7"/>
    <w:rsid w:val="004F1BCC"/>
    <w:rsid w:val="006031AF"/>
    <w:rsid w:val="00675A4B"/>
    <w:rsid w:val="006B5A01"/>
    <w:rsid w:val="006B703D"/>
    <w:rsid w:val="006C2DDE"/>
    <w:rsid w:val="006C317C"/>
    <w:rsid w:val="006C7C13"/>
    <w:rsid w:val="006E5BD1"/>
    <w:rsid w:val="00704A25"/>
    <w:rsid w:val="00716FDC"/>
    <w:rsid w:val="00777722"/>
    <w:rsid w:val="007F0944"/>
    <w:rsid w:val="007F12EB"/>
    <w:rsid w:val="008509BA"/>
    <w:rsid w:val="008B17FB"/>
    <w:rsid w:val="008D01ED"/>
    <w:rsid w:val="008D5BDD"/>
    <w:rsid w:val="008E5F59"/>
    <w:rsid w:val="008E7282"/>
    <w:rsid w:val="00921E66"/>
    <w:rsid w:val="00933B80"/>
    <w:rsid w:val="0095473F"/>
    <w:rsid w:val="009B276F"/>
    <w:rsid w:val="009F0281"/>
    <w:rsid w:val="009F2B63"/>
    <w:rsid w:val="00A0676C"/>
    <w:rsid w:val="00A104CF"/>
    <w:rsid w:val="00A30275"/>
    <w:rsid w:val="00AB6EFC"/>
    <w:rsid w:val="00AF1CDB"/>
    <w:rsid w:val="00B00D28"/>
    <w:rsid w:val="00B077B6"/>
    <w:rsid w:val="00B55AEC"/>
    <w:rsid w:val="00B85F9C"/>
    <w:rsid w:val="00BA2D57"/>
    <w:rsid w:val="00BD1C68"/>
    <w:rsid w:val="00BE356F"/>
    <w:rsid w:val="00C0343D"/>
    <w:rsid w:val="00C10035"/>
    <w:rsid w:val="00C65D50"/>
    <w:rsid w:val="00C85104"/>
    <w:rsid w:val="00C921FC"/>
    <w:rsid w:val="00D03181"/>
    <w:rsid w:val="00D1448F"/>
    <w:rsid w:val="00D72944"/>
    <w:rsid w:val="00E44AE4"/>
    <w:rsid w:val="00E74397"/>
    <w:rsid w:val="00E7631F"/>
    <w:rsid w:val="00EA2BC6"/>
    <w:rsid w:val="00EA7782"/>
    <w:rsid w:val="00EE7F28"/>
    <w:rsid w:val="00F00D3F"/>
    <w:rsid w:val="00F26D3D"/>
    <w:rsid w:val="00F4385B"/>
    <w:rsid w:val="00F6072E"/>
    <w:rsid w:val="00F67991"/>
    <w:rsid w:val="00F94CD2"/>
    <w:rsid w:val="00FA156A"/>
    <w:rsid w:val="00FA329E"/>
    <w:rsid w:val="00FB7C91"/>
    <w:rsid w:val="00FC2F5F"/>
    <w:rsid w:val="00FD206D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B30AE0F"/>
  <w15:chartTrackingRefBased/>
  <w15:docId w15:val="{58AEBC5D-33C2-4981-88B0-A8F08F6B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</w:r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spacing w:line="280" w:lineRule="exact"/>
      <w:ind w:left="720" w:hanging="720"/>
      <w:jc w:val="both"/>
    </w:pPr>
    <w:rPr>
      <w:rFonts w:ascii="Verdana" w:hAnsi="Verdana" w:cs="Arial"/>
      <w:sz w:val="22"/>
    </w:rPr>
  </w:style>
  <w:style w:type="character" w:customStyle="1" w:styleId="TitleChar">
    <w:name w:val="Title Char"/>
    <w:link w:val="Title"/>
    <w:rsid w:val="00FF4AE1"/>
    <w:rPr>
      <w:b/>
      <w:sz w:val="22"/>
      <w:lang w:eastAsia="en-US"/>
    </w:rPr>
  </w:style>
  <w:style w:type="paragraph" w:customStyle="1" w:styleId="Default">
    <w:name w:val="Default"/>
    <w:rsid w:val="00221B5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42F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2F97"/>
    <w:rPr>
      <w:lang w:eastAsia="en-US"/>
    </w:rPr>
  </w:style>
  <w:style w:type="paragraph" w:styleId="Footer">
    <w:name w:val="footer"/>
    <w:basedOn w:val="Normal"/>
    <w:link w:val="FooterChar"/>
    <w:rsid w:val="00442F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2F97"/>
    <w:rPr>
      <w:lang w:eastAsia="en-US"/>
    </w:rPr>
  </w:style>
  <w:style w:type="character" w:styleId="CommentReference">
    <w:name w:val="annotation reference"/>
    <w:rsid w:val="00D14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48F"/>
  </w:style>
  <w:style w:type="character" w:customStyle="1" w:styleId="CommentTextChar">
    <w:name w:val="Comment Text Char"/>
    <w:link w:val="CommentText"/>
    <w:rsid w:val="00D14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448F"/>
    <w:rPr>
      <w:b/>
      <w:bCs/>
    </w:rPr>
  </w:style>
  <w:style w:type="character" w:customStyle="1" w:styleId="CommentSubjectChar">
    <w:name w:val="Comment Subject Char"/>
    <w:link w:val="CommentSubject"/>
    <w:rsid w:val="00D1448F"/>
    <w:rPr>
      <w:b/>
      <w:bCs/>
      <w:lang w:eastAsia="en-US"/>
    </w:rPr>
  </w:style>
  <w:style w:type="table" w:styleId="TableGrid">
    <w:name w:val="Table Grid"/>
    <w:basedOn w:val="TableNormal"/>
    <w:uiPriority w:val="59"/>
    <w:rsid w:val="008D01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510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DCF1957F674AA20850E2D39C6CAE" ma:contentTypeVersion="11" ma:contentTypeDescription="Create a new document." ma:contentTypeScope="" ma:versionID="a82192a44a56a71c207cdf0769eebba5">
  <xsd:schema xmlns:xsd="http://www.w3.org/2001/XMLSchema" xmlns:xs="http://www.w3.org/2001/XMLSchema" xmlns:p="http://schemas.microsoft.com/office/2006/metadata/properties" xmlns:ns2="971628dd-e72d-4c6d-82a1-65014153086c" xmlns:ns3="076e618a-74d9-444b-aa5a-28d5e2990c5d" targetNamespace="http://schemas.microsoft.com/office/2006/metadata/properties" ma:root="true" ma:fieldsID="d23c0b8193e49691c33b6384a3bfccbf" ns2:_="" ns3:_="">
    <xsd:import namespace="971628dd-e72d-4c6d-82a1-65014153086c"/>
    <xsd:import namespace="076e618a-74d9-444b-aa5a-28d5e2990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628dd-e72d-4c6d-82a1-650141530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618a-74d9-444b-aa5a-28d5e2990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059D6-E24D-45F6-A2C4-00BAF53F0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A63BC-9CB0-498C-B3D1-36A0B72A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628dd-e72d-4c6d-82a1-65014153086c"/>
    <ds:schemaRef ds:uri="076e618a-74d9-444b-aa5a-28d5e2990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7DC2E-4C05-4BBA-BF40-3A56E8274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TRIVEN VCT PLC</vt:lpstr>
    </vt:vector>
  </TitlesOfParts>
  <Company>Matrix Securities Ltd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</dc:title>
  <dc:subject/>
  <dc:creator>Tina Blakemore</dc:creator>
  <cp:keywords/>
  <dc:description/>
  <cp:lastModifiedBy>Juanita Fan</cp:lastModifiedBy>
  <cp:revision>2</cp:revision>
  <cp:lastPrinted>2008-11-25T16:04:00Z</cp:lastPrinted>
  <dcterms:created xsi:type="dcterms:W3CDTF">2023-11-17T09:44:00Z</dcterms:created>
  <dcterms:modified xsi:type="dcterms:W3CDTF">2023-11-17T09:44:00Z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0x010100B57DDCF1957F674AA20850E2D39C6CAE</vt:lpwstr>
  </property>
</Properties>
</file>