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BED0D" w14:textId="77777777" w:rsidR="00124327" w:rsidRPr="0004553D" w:rsidRDefault="00124327" w:rsidP="00124327">
      <w:pPr>
        <w:spacing w:after="0" w:line="240" w:lineRule="auto"/>
        <w:rPr>
          <w:rFonts w:eastAsia="Times New Roman" w:cstheme="minorHAnsi"/>
          <w:color w:val="000000"/>
          <w:sz w:val="27"/>
          <w:szCs w:val="27"/>
          <w:lang w:eastAsia="en-GB"/>
        </w:rPr>
      </w:pPr>
      <w:r w:rsidRPr="0004553D">
        <w:rPr>
          <w:rFonts w:eastAsia="Times New Roman" w:cstheme="minorHAnsi"/>
          <w:color w:val="000000"/>
          <w:lang w:eastAsia="en-GB"/>
        </w:rPr>
        <w:t> </w:t>
      </w:r>
    </w:p>
    <w:p w14:paraId="3E91BF46" w14:textId="498F8DD2" w:rsidR="00124327" w:rsidRPr="0004553D" w:rsidRDefault="00124327" w:rsidP="00124327">
      <w:pPr>
        <w:spacing w:after="0" w:line="240" w:lineRule="auto"/>
        <w:outlineLvl w:val="1"/>
        <w:rPr>
          <w:rFonts w:eastAsia="Times New Roman" w:cstheme="minorHAnsi"/>
          <w:b/>
          <w:bCs/>
          <w:caps/>
          <w:color w:val="000000"/>
          <w:sz w:val="28"/>
          <w:szCs w:val="28"/>
          <w:lang w:eastAsia="en-GB"/>
        </w:rPr>
      </w:pPr>
      <w:r w:rsidRPr="0004553D">
        <w:rPr>
          <w:rFonts w:eastAsia="Times New Roman" w:cstheme="minorHAnsi"/>
          <w:b/>
          <w:bCs/>
          <w:caps/>
          <w:color w:val="000000"/>
          <w:sz w:val="28"/>
          <w:szCs w:val="28"/>
          <w:lang w:eastAsia="en-GB"/>
        </w:rPr>
        <w:t xml:space="preserve">Mobeus Income &amp; Growth </w:t>
      </w:r>
      <w:r w:rsidR="00983122" w:rsidRPr="0004553D">
        <w:rPr>
          <w:rFonts w:eastAsia="Times New Roman" w:cstheme="minorHAnsi"/>
          <w:b/>
          <w:bCs/>
          <w:caps/>
          <w:color w:val="000000"/>
          <w:sz w:val="28"/>
          <w:szCs w:val="28"/>
          <w:lang w:eastAsia="en-GB"/>
        </w:rPr>
        <w:t xml:space="preserve">4 </w:t>
      </w:r>
      <w:r w:rsidRPr="0004553D">
        <w:rPr>
          <w:rFonts w:eastAsia="Times New Roman" w:cstheme="minorHAnsi"/>
          <w:b/>
          <w:bCs/>
          <w:caps/>
          <w:color w:val="000000"/>
          <w:sz w:val="28"/>
          <w:szCs w:val="28"/>
          <w:lang w:eastAsia="en-GB"/>
        </w:rPr>
        <w:t>VCT plc</w:t>
      </w:r>
    </w:p>
    <w:p w14:paraId="7863B911" w14:textId="77777777" w:rsidR="00124327" w:rsidRPr="0004553D" w:rsidRDefault="00124327" w:rsidP="00124327">
      <w:pPr>
        <w:spacing w:after="0" w:line="240" w:lineRule="auto"/>
        <w:outlineLvl w:val="1"/>
        <w:rPr>
          <w:rFonts w:eastAsia="Times New Roman" w:cstheme="minorHAnsi"/>
          <w:b/>
          <w:bCs/>
          <w:caps/>
          <w:color w:val="000000"/>
          <w:lang w:eastAsia="en-GB"/>
        </w:rPr>
      </w:pPr>
      <w:r w:rsidRPr="0004553D">
        <w:rPr>
          <w:rFonts w:eastAsia="Times New Roman" w:cstheme="minorHAnsi"/>
          <w:b/>
          <w:bCs/>
          <w:caps/>
          <w:color w:val="000000"/>
          <w:lang w:eastAsia="en-GB"/>
        </w:rPr>
        <w:t> </w:t>
      </w:r>
    </w:p>
    <w:p w14:paraId="6ABB1FF2" w14:textId="492DCED2" w:rsidR="00124327" w:rsidRPr="0004553D" w:rsidRDefault="00124327" w:rsidP="00124327">
      <w:pPr>
        <w:spacing w:after="0" w:line="240" w:lineRule="auto"/>
        <w:outlineLvl w:val="1"/>
        <w:rPr>
          <w:rFonts w:eastAsia="Times New Roman" w:cstheme="minorHAnsi"/>
          <w:b/>
          <w:bCs/>
          <w:color w:val="000000"/>
          <w:sz w:val="28"/>
          <w:szCs w:val="28"/>
          <w:lang w:eastAsia="en-GB"/>
        </w:rPr>
      </w:pPr>
      <w:r w:rsidRPr="0004553D">
        <w:rPr>
          <w:rFonts w:eastAsia="Times New Roman" w:cstheme="minorHAnsi"/>
          <w:b/>
          <w:bCs/>
          <w:color w:val="000000"/>
          <w:sz w:val="28"/>
          <w:szCs w:val="28"/>
          <w:lang w:eastAsia="en-GB"/>
        </w:rPr>
        <w:t>General Meeting</w:t>
      </w:r>
      <w:r w:rsidR="00841C8F" w:rsidRPr="0004553D">
        <w:rPr>
          <w:rFonts w:eastAsia="Times New Roman" w:cstheme="minorHAnsi"/>
          <w:b/>
          <w:bCs/>
          <w:color w:val="000000"/>
          <w:sz w:val="28"/>
          <w:szCs w:val="28"/>
          <w:lang w:eastAsia="en-GB"/>
        </w:rPr>
        <w:t xml:space="preserve"> Results</w:t>
      </w:r>
    </w:p>
    <w:p w14:paraId="27C58372" w14:textId="77777777" w:rsidR="00124327" w:rsidRPr="0004553D" w:rsidRDefault="00124327" w:rsidP="00124327">
      <w:pPr>
        <w:spacing w:after="0" w:line="240" w:lineRule="auto"/>
        <w:rPr>
          <w:rFonts w:eastAsia="Times New Roman" w:cstheme="minorHAnsi"/>
          <w:color w:val="000000"/>
          <w:lang w:eastAsia="en-GB"/>
        </w:rPr>
      </w:pPr>
      <w:r w:rsidRPr="0004553D">
        <w:rPr>
          <w:rFonts w:eastAsia="Times New Roman" w:cstheme="minorHAnsi"/>
          <w:color w:val="000000"/>
          <w:lang w:eastAsia="en-GB"/>
        </w:rPr>
        <w:t> </w:t>
      </w:r>
    </w:p>
    <w:p w14:paraId="1B7B66CF" w14:textId="7CCAD41F" w:rsidR="008C4ABA" w:rsidRPr="0004553D" w:rsidRDefault="00124327" w:rsidP="00124327">
      <w:pPr>
        <w:spacing w:after="0" w:line="300" w:lineRule="atLeast"/>
        <w:jc w:val="both"/>
        <w:rPr>
          <w:rFonts w:eastAsia="Times New Roman" w:cstheme="minorHAnsi"/>
          <w:color w:val="000000"/>
          <w:lang w:eastAsia="en-GB"/>
        </w:rPr>
      </w:pPr>
      <w:r w:rsidRPr="0004553D">
        <w:rPr>
          <w:rFonts w:eastAsia="Times New Roman" w:cstheme="minorHAnsi"/>
          <w:color w:val="000000"/>
          <w:lang w:eastAsia="en-GB"/>
        </w:rPr>
        <w:t xml:space="preserve">Mobeus Income &amp; Growth </w:t>
      </w:r>
      <w:r w:rsidR="00983122" w:rsidRPr="0004553D">
        <w:rPr>
          <w:rFonts w:eastAsia="Times New Roman" w:cstheme="minorHAnsi"/>
          <w:color w:val="000000"/>
          <w:lang w:eastAsia="en-GB"/>
        </w:rPr>
        <w:t xml:space="preserve">4 </w:t>
      </w:r>
      <w:r w:rsidRPr="0004553D">
        <w:rPr>
          <w:rFonts w:eastAsia="Times New Roman" w:cstheme="minorHAnsi"/>
          <w:color w:val="000000"/>
          <w:lang w:eastAsia="en-GB"/>
        </w:rPr>
        <w:t xml:space="preserve">VCT plc is pleased to announce that </w:t>
      </w:r>
      <w:proofErr w:type="gramStart"/>
      <w:r w:rsidR="00D63413" w:rsidRPr="0004553D">
        <w:rPr>
          <w:rFonts w:eastAsia="Times New Roman" w:cstheme="minorHAnsi"/>
          <w:color w:val="000000"/>
          <w:lang w:eastAsia="en-GB"/>
        </w:rPr>
        <w:t xml:space="preserve">both </w:t>
      </w:r>
      <w:r w:rsidRPr="0004553D">
        <w:rPr>
          <w:rFonts w:eastAsia="Times New Roman" w:cstheme="minorHAnsi"/>
          <w:color w:val="000000"/>
          <w:lang w:eastAsia="en-GB"/>
        </w:rPr>
        <w:t>of the</w:t>
      </w:r>
      <w:r w:rsidR="00233B07" w:rsidRPr="0004553D">
        <w:rPr>
          <w:rFonts w:eastAsia="Times New Roman" w:cstheme="minorHAnsi"/>
          <w:color w:val="000000"/>
          <w:lang w:eastAsia="en-GB"/>
        </w:rPr>
        <w:t xml:space="preserve"> special</w:t>
      </w:r>
      <w:proofErr w:type="gramEnd"/>
      <w:r w:rsidRPr="0004553D">
        <w:rPr>
          <w:rFonts w:eastAsia="Times New Roman" w:cstheme="minorHAnsi"/>
          <w:color w:val="000000"/>
          <w:lang w:eastAsia="en-GB"/>
        </w:rPr>
        <w:t xml:space="preserve"> resolutions proposed at the General Meeting held </w:t>
      </w:r>
      <w:r w:rsidR="003828E9">
        <w:rPr>
          <w:rFonts w:eastAsia="Times New Roman" w:cstheme="minorHAnsi"/>
          <w:color w:val="000000"/>
          <w:lang w:eastAsia="en-GB"/>
        </w:rPr>
        <w:t xml:space="preserve">on </w:t>
      </w:r>
      <w:r w:rsidR="0010573F" w:rsidRPr="0004553D">
        <w:rPr>
          <w:rFonts w:eastAsia="Times New Roman" w:cstheme="minorHAnsi"/>
          <w:color w:val="000000"/>
          <w:lang w:eastAsia="en-GB"/>
        </w:rPr>
        <w:t>12 October 2022</w:t>
      </w:r>
      <w:r w:rsidRPr="0004553D">
        <w:rPr>
          <w:rFonts w:eastAsia="Times New Roman" w:cstheme="minorHAnsi"/>
          <w:color w:val="000000"/>
          <w:lang w:eastAsia="en-GB"/>
        </w:rPr>
        <w:t xml:space="preserve"> were approved by </w:t>
      </w:r>
      <w:r w:rsidR="005E2243" w:rsidRPr="0004553D">
        <w:rPr>
          <w:rFonts w:eastAsia="Times New Roman" w:cstheme="minorHAnsi"/>
          <w:color w:val="000000"/>
          <w:lang w:eastAsia="en-GB"/>
        </w:rPr>
        <w:t>S</w:t>
      </w:r>
      <w:r w:rsidRPr="0004553D">
        <w:rPr>
          <w:rFonts w:eastAsia="Times New Roman" w:cstheme="minorHAnsi"/>
          <w:color w:val="000000"/>
          <w:lang w:eastAsia="en-GB"/>
        </w:rPr>
        <w:t>hareholders</w:t>
      </w:r>
      <w:r w:rsidR="00233B07" w:rsidRPr="0004553D">
        <w:rPr>
          <w:rFonts w:eastAsia="Times New Roman" w:cstheme="minorHAnsi"/>
          <w:color w:val="000000"/>
          <w:lang w:eastAsia="en-GB"/>
        </w:rPr>
        <w:t xml:space="preserve">. </w:t>
      </w:r>
    </w:p>
    <w:p w14:paraId="3EFFB2BA" w14:textId="77777777" w:rsidR="008C4ABA" w:rsidRPr="0004553D" w:rsidRDefault="008C4ABA" w:rsidP="00124327">
      <w:pPr>
        <w:spacing w:after="0" w:line="300" w:lineRule="atLeast"/>
        <w:jc w:val="both"/>
        <w:rPr>
          <w:rFonts w:eastAsia="Times New Roman" w:cstheme="minorHAnsi"/>
          <w:color w:val="000000"/>
          <w:lang w:eastAsia="en-GB"/>
        </w:rPr>
      </w:pPr>
    </w:p>
    <w:p w14:paraId="5F5081E8" w14:textId="7FC717AF" w:rsidR="00124327" w:rsidRPr="0004553D" w:rsidRDefault="008C4ABA" w:rsidP="00124327">
      <w:pPr>
        <w:spacing w:after="0" w:line="300" w:lineRule="atLeast"/>
        <w:jc w:val="both"/>
        <w:rPr>
          <w:rFonts w:eastAsia="Times New Roman" w:cstheme="minorHAnsi"/>
          <w:color w:val="000000"/>
          <w:lang w:eastAsia="en-GB"/>
        </w:rPr>
      </w:pPr>
      <w:r w:rsidRPr="0004553D">
        <w:rPr>
          <w:rFonts w:eastAsia="Times New Roman" w:cstheme="minorHAnsi"/>
          <w:lang w:eastAsia="en-GB"/>
        </w:rPr>
        <w:t xml:space="preserve">Proxy votes were received in respect of </w:t>
      </w:r>
      <w:r w:rsidR="00CA68BA" w:rsidRPr="0004553D">
        <w:rPr>
          <w:rFonts w:eastAsia="Times New Roman" w:cstheme="minorHAnsi"/>
          <w:lang w:eastAsia="en-GB"/>
        </w:rPr>
        <w:t>4,556,793</w:t>
      </w:r>
      <w:r w:rsidRPr="0004553D">
        <w:rPr>
          <w:rFonts w:eastAsia="Times New Roman" w:cstheme="minorHAnsi"/>
          <w:lang w:eastAsia="en-GB"/>
        </w:rPr>
        <w:t xml:space="preserve"> Ordinary Shares, representing </w:t>
      </w:r>
      <w:r w:rsidR="00CA68BA" w:rsidRPr="0004553D">
        <w:rPr>
          <w:rFonts w:eastAsia="Times New Roman" w:cstheme="minorHAnsi"/>
          <w:lang w:eastAsia="en-GB"/>
        </w:rPr>
        <w:t>5.01</w:t>
      </w:r>
      <w:r w:rsidRPr="0004553D">
        <w:rPr>
          <w:rFonts w:eastAsia="Times New Roman" w:cstheme="minorHAnsi"/>
          <w:lang w:eastAsia="en-GB"/>
        </w:rPr>
        <w:t xml:space="preserve"> % </w:t>
      </w:r>
      <w:r w:rsidRPr="0004553D">
        <w:rPr>
          <w:rFonts w:eastAsia="Times New Roman" w:cstheme="minorHAnsi"/>
          <w:color w:val="000000"/>
          <w:lang w:eastAsia="en-GB"/>
        </w:rPr>
        <w:t xml:space="preserve">of the issued share capital as </w:t>
      </w:r>
      <w:proofErr w:type="gramStart"/>
      <w:r w:rsidRPr="0004553D">
        <w:rPr>
          <w:rFonts w:eastAsia="Times New Roman" w:cstheme="minorHAnsi"/>
          <w:color w:val="000000"/>
          <w:lang w:eastAsia="en-GB"/>
        </w:rPr>
        <w:t>at</w:t>
      </w:r>
      <w:proofErr w:type="gramEnd"/>
      <w:r w:rsidRPr="0004553D">
        <w:rPr>
          <w:rFonts w:eastAsia="Times New Roman" w:cstheme="minorHAnsi"/>
          <w:color w:val="000000"/>
          <w:lang w:eastAsia="en-GB"/>
        </w:rPr>
        <w:t xml:space="preserve"> </w:t>
      </w:r>
      <w:r w:rsidR="00CA68BA" w:rsidRPr="0004553D">
        <w:rPr>
          <w:rFonts w:eastAsia="Times New Roman" w:cstheme="minorHAnsi"/>
          <w:color w:val="000000"/>
          <w:lang w:eastAsia="en-GB"/>
        </w:rPr>
        <w:t>11 October</w:t>
      </w:r>
      <w:r w:rsidRPr="0004553D">
        <w:rPr>
          <w:rFonts w:eastAsia="Times New Roman" w:cstheme="minorHAnsi"/>
          <w:color w:val="000000"/>
          <w:lang w:eastAsia="en-GB"/>
        </w:rPr>
        <w:t xml:space="preserve"> 202</w:t>
      </w:r>
      <w:r w:rsidR="00CA68BA" w:rsidRPr="0004553D">
        <w:rPr>
          <w:rFonts w:eastAsia="Times New Roman" w:cstheme="minorHAnsi"/>
          <w:color w:val="000000"/>
          <w:lang w:eastAsia="en-GB"/>
        </w:rPr>
        <w:t>2</w:t>
      </w:r>
      <w:r w:rsidRPr="0004553D">
        <w:rPr>
          <w:rFonts w:eastAsia="Times New Roman" w:cstheme="minorHAnsi"/>
          <w:color w:val="000000"/>
          <w:lang w:eastAsia="en-GB"/>
        </w:rPr>
        <w:t>.</w:t>
      </w:r>
      <w:r w:rsidR="00233B07" w:rsidRPr="0004553D">
        <w:rPr>
          <w:rFonts w:eastAsia="Times New Roman" w:cstheme="minorHAnsi"/>
          <w:color w:val="000000"/>
          <w:lang w:eastAsia="en-GB"/>
        </w:rPr>
        <w:t xml:space="preserve"> </w:t>
      </w:r>
    </w:p>
    <w:p w14:paraId="3FE03618" w14:textId="1787FAE8" w:rsidR="00233B07" w:rsidRPr="0004553D" w:rsidRDefault="00233B07" w:rsidP="00124327">
      <w:pPr>
        <w:spacing w:after="0" w:line="300" w:lineRule="atLeast"/>
        <w:jc w:val="both"/>
        <w:rPr>
          <w:rFonts w:eastAsia="Times New Roman" w:cstheme="minorHAnsi"/>
          <w:color w:val="000000"/>
          <w:lang w:eastAsia="en-GB"/>
        </w:rPr>
      </w:pPr>
    </w:p>
    <w:p w14:paraId="6C1695BF" w14:textId="77777777" w:rsidR="00233B07" w:rsidRPr="0004553D" w:rsidRDefault="00233B07" w:rsidP="00233B07">
      <w:pPr>
        <w:spacing w:after="0" w:line="240" w:lineRule="auto"/>
        <w:rPr>
          <w:rFonts w:eastAsia="Times New Roman" w:cstheme="minorHAnsi"/>
          <w:color w:val="000000"/>
          <w:lang w:eastAsia="en-GB"/>
        </w:rPr>
      </w:pPr>
      <w:r w:rsidRPr="0004553D">
        <w:rPr>
          <w:rFonts w:eastAsia="Times New Roman" w:cstheme="minorHAnsi"/>
          <w:color w:val="000000"/>
          <w:lang w:eastAsia="en-GB"/>
        </w:rPr>
        <w:t>The following table shows the proxy votes cast for each resolution:</w:t>
      </w:r>
    </w:p>
    <w:p w14:paraId="570ECA6F" w14:textId="6D78E4C1" w:rsidR="00233B07" w:rsidRPr="0004553D" w:rsidRDefault="00233B07" w:rsidP="00124327">
      <w:pPr>
        <w:spacing w:after="0" w:line="300" w:lineRule="atLeast"/>
        <w:jc w:val="both"/>
        <w:rPr>
          <w:rFonts w:eastAsia="Times New Roman" w:cstheme="minorHAnsi"/>
          <w:color w:val="000000"/>
          <w:lang w:eastAsia="en-GB"/>
        </w:rPr>
      </w:pPr>
    </w:p>
    <w:tbl>
      <w:tblPr>
        <w:tblW w:w="9029" w:type="dxa"/>
        <w:tblInd w:w="-108" w:type="dxa"/>
        <w:tblLayout w:type="fixed"/>
        <w:tblCellMar>
          <w:left w:w="0" w:type="dxa"/>
          <w:right w:w="0" w:type="dxa"/>
        </w:tblCellMar>
        <w:tblLook w:val="04A0" w:firstRow="1" w:lastRow="0" w:firstColumn="1" w:lastColumn="0" w:noHBand="0" w:noVBand="1"/>
      </w:tblPr>
      <w:tblGrid>
        <w:gridCol w:w="1196"/>
        <w:gridCol w:w="1879"/>
        <w:gridCol w:w="1276"/>
        <w:gridCol w:w="1701"/>
        <w:gridCol w:w="1276"/>
        <w:gridCol w:w="1701"/>
      </w:tblGrid>
      <w:tr w:rsidR="002544B6" w:rsidRPr="0004553D" w14:paraId="49969564" w14:textId="77777777" w:rsidTr="002544B6">
        <w:trPr>
          <w:trHeight w:val="262"/>
        </w:trPr>
        <w:tc>
          <w:tcPr>
            <w:tcW w:w="11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4A6462" w14:textId="77777777" w:rsidR="002544B6" w:rsidRPr="0004553D" w:rsidRDefault="002544B6" w:rsidP="009E626B">
            <w:pPr>
              <w:spacing w:after="0" w:line="240" w:lineRule="auto"/>
              <w:rPr>
                <w:rFonts w:eastAsia="Times New Roman" w:cstheme="minorHAnsi"/>
                <w:b/>
                <w:bCs/>
                <w:lang w:eastAsia="en-GB"/>
              </w:rPr>
            </w:pPr>
            <w:r w:rsidRPr="0004553D">
              <w:rPr>
                <w:rFonts w:eastAsia="Times New Roman" w:cstheme="minorHAnsi"/>
                <w:b/>
                <w:bCs/>
                <w:lang w:eastAsia="en-GB"/>
              </w:rPr>
              <w:t>Resolution</w:t>
            </w:r>
          </w:p>
        </w:tc>
        <w:tc>
          <w:tcPr>
            <w:tcW w:w="18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F9B402" w14:textId="77777777" w:rsidR="002544B6" w:rsidRPr="0004553D" w:rsidRDefault="002544B6" w:rsidP="009E626B">
            <w:pPr>
              <w:spacing w:after="0" w:line="240" w:lineRule="auto"/>
              <w:jc w:val="center"/>
              <w:rPr>
                <w:rFonts w:eastAsia="Times New Roman" w:cstheme="minorHAnsi"/>
                <w:b/>
                <w:bCs/>
                <w:lang w:eastAsia="en-GB"/>
              </w:rPr>
            </w:pPr>
            <w:r w:rsidRPr="0004553D">
              <w:rPr>
                <w:rFonts w:eastAsia="Times New Roman" w:cstheme="minorHAnsi"/>
                <w:b/>
                <w:bCs/>
                <w:lang w:eastAsia="en-GB"/>
              </w:rPr>
              <w:t>For</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7B713F" w14:textId="7CF5B660" w:rsidR="002544B6" w:rsidRPr="0004553D" w:rsidRDefault="002544B6" w:rsidP="002544B6">
            <w:pPr>
              <w:spacing w:after="0" w:line="240" w:lineRule="auto"/>
              <w:ind w:firstLine="29"/>
              <w:jc w:val="center"/>
              <w:rPr>
                <w:rFonts w:eastAsia="Times New Roman" w:cstheme="minorHAnsi"/>
                <w:b/>
                <w:bCs/>
                <w:lang w:eastAsia="en-GB"/>
              </w:rPr>
            </w:pPr>
            <w:r w:rsidRPr="0004553D">
              <w:rPr>
                <w:rFonts w:eastAsia="Times New Roman" w:cstheme="minorHAnsi"/>
                <w:b/>
                <w:bCs/>
                <w:lang w:eastAsia="en-GB"/>
              </w:rPr>
              <w:t>%</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D1D21D" w14:textId="77777777" w:rsidR="002544B6" w:rsidRPr="0004553D" w:rsidRDefault="002544B6" w:rsidP="009E626B">
            <w:pPr>
              <w:spacing w:after="0" w:line="240" w:lineRule="auto"/>
              <w:jc w:val="center"/>
              <w:rPr>
                <w:rFonts w:eastAsia="Times New Roman" w:cstheme="minorHAnsi"/>
                <w:b/>
                <w:bCs/>
                <w:lang w:eastAsia="en-GB"/>
              </w:rPr>
            </w:pPr>
            <w:r w:rsidRPr="0004553D">
              <w:rPr>
                <w:rFonts w:eastAsia="Times New Roman" w:cstheme="minorHAnsi"/>
                <w:b/>
                <w:bCs/>
                <w:lang w:eastAsia="en-GB"/>
              </w:rPr>
              <w:t>Against</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768272" w14:textId="437A3AF2" w:rsidR="002544B6" w:rsidRPr="0004553D" w:rsidRDefault="002544B6" w:rsidP="009E626B">
            <w:pPr>
              <w:spacing w:after="0" w:line="240" w:lineRule="auto"/>
              <w:jc w:val="center"/>
              <w:rPr>
                <w:rFonts w:eastAsia="Times New Roman" w:cstheme="minorHAnsi"/>
                <w:b/>
                <w:bCs/>
                <w:lang w:eastAsia="en-GB"/>
              </w:rPr>
            </w:pPr>
            <w:r w:rsidRPr="0004553D">
              <w:rPr>
                <w:rFonts w:eastAsia="Times New Roman" w:cstheme="minorHAnsi"/>
                <w:b/>
                <w:bCs/>
                <w:lang w:eastAsia="en-GB"/>
              </w:rPr>
              <w:t>%</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771612" w14:textId="77777777" w:rsidR="002544B6" w:rsidRPr="0004553D" w:rsidRDefault="002544B6" w:rsidP="009E626B">
            <w:pPr>
              <w:spacing w:after="0" w:line="240" w:lineRule="auto"/>
              <w:jc w:val="center"/>
              <w:rPr>
                <w:rFonts w:eastAsia="Times New Roman" w:cstheme="minorHAnsi"/>
                <w:b/>
                <w:bCs/>
                <w:lang w:eastAsia="en-GB"/>
              </w:rPr>
            </w:pPr>
            <w:r w:rsidRPr="0004553D">
              <w:rPr>
                <w:rFonts w:eastAsia="Times New Roman" w:cstheme="minorHAnsi"/>
                <w:b/>
                <w:bCs/>
                <w:lang w:eastAsia="en-GB"/>
              </w:rPr>
              <w:t>Withheld</w:t>
            </w:r>
          </w:p>
        </w:tc>
      </w:tr>
      <w:tr w:rsidR="002544B6" w:rsidRPr="0004553D" w14:paraId="69EAE7EC" w14:textId="77777777" w:rsidTr="002544B6">
        <w:trPr>
          <w:trHeight w:val="277"/>
        </w:trPr>
        <w:tc>
          <w:tcPr>
            <w:tcW w:w="11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EE09E7" w14:textId="77777777" w:rsidR="002544B6" w:rsidRPr="0004553D" w:rsidRDefault="002544B6" w:rsidP="002544B6">
            <w:pPr>
              <w:spacing w:after="0" w:line="240" w:lineRule="auto"/>
              <w:jc w:val="center"/>
              <w:rPr>
                <w:rFonts w:eastAsia="Times New Roman" w:cstheme="minorHAnsi"/>
                <w:b/>
                <w:bCs/>
                <w:lang w:eastAsia="en-GB"/>
              </w:rPr>
            </w:pPr>
            <w:r w:rsidRPr="0004553D">
              <w:rPr>
                <w:rFonts w:eastAsia="Times New Roman" w:cstheme="minorHAnsi"/>
                <w:b/>
                <w:bCs/>
                <w:lang w:eastAsia="en-GB"/>
              </w:rPr>
              <w:t>1</w:t>
            </w:r>
          </w:p>
        </w:tc>
        <w:tc>
          <w:tcPr>
            <w:tcW w:w="1879" w:type="dxa"/>
            <w:tcBorders>
              <w:top w:val="nil"/>
              <w:left w:val="nil"/>
              <w:bottom w:val="single" w:sz="8" w:space="0" w:color="auto"/>
              <w:right w:val="single" w:sz="8" w:space="0" w:color="auto"/>
            </w:tcBorders>
            <w:tcMar>
              <w:top w:w="0" w:type="dxa"/>
              <w:left w:w="108" w:type="dxa"/>
              <w:bottom w:w="0" w:type="dxa"/>
              <w:right w:w="108" w:type="dxa"/>
            </w:tcMar>
            <w:vAlign w:val="bottom"/>
          </w:tcPr>
          <w:tbl>
            <w:tblPr>
              <w:tblW w:w="1474" w:type="dxa"/>
              <w:tblLayout w:type="fixed"/>
              <w:tblLook w:val="04A0" w:firstRow="1" w:lastRow="0" w:firstColumn="1" w:lastColumn="0" w:noHBand="0" w:noVBand="1"/>
            </w:tblPr>
            <w:tblGrid>
              <w:gridCol w:w="1474"/>
            </w:tblGrid>
            <w:tr w:rsidR="002544B6" w:rsidRPr="0004553D" w14:paraId="2548A391" w14:textId="77777777" w:rsidTr="002544B6">
              <w:trPr>
                <w:trHeight w:val="280"/>
              </w:trPr>
              <w:tc>
                <w:tcPr>
                  <w:tcW w:w="1474" w:type="dxa"/>
                  <w:tcBorders>
                    <w:top w:val="nil"/>
                    <w:left w:val="nil"/>
                    <w:bottom w:val="nil"/>
                    <w:right w:val="nil"/>
                  </w:tcBorders>
                  <w:shd w:val="clear" w:color="auto" w:fill="auto"/>
                  <w:noWrap/>
                  <w:vAlign w:val="bottom"/>
                  <w:hideMark/>
                </w:tcPr>
                <w:p w14:paraId="769AEB14" w14:textId="5E38CC42" w:rsidR="002544B6" w:rsidRPr="00233B07" w:rsidRDefault="002544B6" w:rsidP="002544B6">
                  <w:pPr>
                    <w:spacing w:after="0" w:line="240" w:lineRule="auto"/>
                    <w:ind w:left="-196" w:right="-535"/>
                    <w:jc w:val="center"/>
                    <w:rPr>
                      <w:rFonts w:eastAsia="Times New Roman" w:cstheme="minorHAnsi"/>
                      <w:color w:val="000000"/>
                      <w:lang w:eastAsia="en-GB"/>
                    </w:rPr>
                  </w:pPr>
                  <w:r>
                    <w:rPr>
                      <w:rFonts w:eastAsia="Times New Roman" w:cstheme="minorHAnsi"/>
                      <w:color w:val="000000"/>
                      <w:lang w:eastAsia="en-GB"/>
                    </w:rPr>
                    <w:t>3,457,664</w:t>
                  </w:r>
                </w:p>
              </w:tc>
            </w:tr>
          </w:tbl>
          <w:p w14:paraId="36FE9DF6" w14:textId="77777777" w:rsidR="002544B6" w:rsidRPr="0004553D" w:rsidRDefault="002544B6" w:rsidP="002544B6">
            <w:pPr>
              <w:spacing w:after="0" w:line="240" w:lineRule="auto"/>
              <w:ind w:right="-104"/>
              <w:jc w:val="center"/>
              <w:rPr>
                <w:rFonts w:eastAsia="Times New Roman" w:cstheme="minorHAnsi"/>
                <w:lang w:eastAsia="en-GB"/>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bottom"/>
          </w:tcPr>
          <w:tbl>
            <w:tblPr>
              <w:tblW w:w="5171" w:type="dxa"/>
              <w:tblLayout w:type="fixed"/>
              <w:tblLook w:val="04A0" w:firstRow="1" w:lastRow="0" w:firstColumn="1" w:lastColumn="0" w:noHBand="0" w:noVBand="1"/>
            </w:tblPr>
            <w:tblGrid>
              <w:gridCol w:w="1011"/>
              <w:gridCol w:w="2080"/>
              <w:gridCol w:w="2080"/>
            </w:tblGrid>
            <w:tr w:rsidR="002544B6" w:rsidRPr="0004553D" w14:paraId="1248A468" w14:textId="01D937A0" w:rsidTr="002544B6">
              <w:trPr>
                <w:trHeight w:val="280"/>
              </w:trPr>
              <w:tc>
                <w:tcPr>
                  <w:tcW w:w="1011" w:type="dxa"/>
                  <w:tcBorders>
                    <w:top w:val="nil"/>
                    <w:left w:val="nil"/>
                    <w:bottom w:val="nil"/>
                    <w:right w:val="nil"/>
                  </w:tcBorders>
                  <w:shd w:val="clear" w:color="auto" w:fill="auto"/>
                  <w:noWrap/>
                  <w:vAlign w:val="bottom"/>
                  <w:hideMark/>
                </w:tcPr>
                <w:p w14:paraId="20EF2AC6" w14:textId="1FB6D535" w:rsidR="002544B6" w:rsidRPr="00233B07" w:rsidRDefault="002544B6" w:rsidP="002544B6">
                  <w:pPr>
                    <w:spacing w:after="0" w:line="240" w:lineRule="auto"/>
                    <w:jc w:val="center"/>
                    <w:rPr>
                      <w:rFonts w:eastAsia="Times New Roman" w:cstheme="minorHAnsi"/>
                      <w:color w:val="000000"/>
                      <w:lang w:eastAsia="en-GB"/>
                    </w:rPr>
                  </w:pPr>
                  <w:r>
                    <w:rPr>
                      <w:rFonts w:eastAsia="Times New Roman" w:cstheme="minorHAnsi"/>
                      <w:color w:val="000000"/>
                      <w:lang w:eastAsia="en-GB"/>
                    </w:rPr>
                    <w:t>76.16</w:t>
                  </w:r>
                </w:p>
              </w:tc>
              <w:tc>
                <w:tcPr>
                  <w:tcW w:w="2080" w:type="dxa"/>
                  <w:tcBorders>
                    <w:top w:val="nil"/>
                    <w:left w:val="nil"/>
                    <w:bottom w:val="nil"/>
                    <w:right w:val="nil"/>
                  </w:tcBorders>
                </w:tcPr>
                <w:p w14:paraId="3A219D6F" w14:textId="77777777" w:rsidR="002544B6" w:rsidRPr="0004553D" w:rsidRDefault="002544B6" w:rsidP="002544B6">
                  <w:pPr>
                    <w:spacing w:after="0" w:line="240" w:lineRule="auto"/>
                    <w:ind w:firstLine="29"/>
                    <w:jc w:val="center"/>
                    <w:rPr>
                      <w:rFonts w:eastAsia="Times New Roman" w:cstheme="minorHAnsi"/>
                      <w:color w:val="000000"/>
                      <w:lang w:eastAsia="en-GB"/>
                    </w:rPr>
                  </w:pPr>
                </w:p>
              </w:tc>
              <w:tc>
                <w:tcPr>
                  <w:tcW w:w="2080" w:type="dxa"/>
                  <w:tcBorders>
                    <w:top w:val="nil"/>
                    <w:left w:val="nil"/>
                    <w:bottom w:val="nil"/>
                    <w:right w:val="nil"/>
                  </w:tcBorders>
                </w:tcPr>
                <w:p w14:paraId="0537A143" w14:textId="07FAC343" w:rsidR="002544B6" w:rsidRPr="0004553D" w:rsidRDefault="002544B6" w:rsidP="002544B6">
                  <w:pPr>
                    <w:spacing w:after="0" w:line="240" w:lineRule="auto"/>
                    <w:ind w:firstLine="29"/>
                    <w:jc w:val="center"/>
                    <w:rPr>
                      <w:rFonts w:eastAsia="Times New Roman" w:cstheme="minorHAnsi"/>
                      <w:color w:val="000000"/>
                      <w:lang w:eastAsia="en-GB"/>
                    </w:rPr>
                  </w:pPr>
                </w:p>
              </w:tc>
            </w:tr>
          </w:tbl>
          <w:p w14:paraId="60FEC54D" w14:textId="77777777" w:rsidR="002544B6" w:rsidRPr="0004553D" w:rsidRDefault="002544B6" w:rsidP="002544B6">
            <w:pPr>
              <w:spacing w:after="0" w:line="240" w:lineRule="auto"/>
              <w:ind w:firstLine="29"/>
              <w:jc w:val="center"/>
              <w:rPr>
                <w:rFonts w:eastAsia="Times New Roman" w:cstheme="minorHAnsi"/>
                <w:lang w:eastAsia="en-GB"/>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bottom"/>
          </w:tcPr>
          <w:p w14:paraId="0944B26D" w14:textId="25AF06BA" w:rsidR="002544B6" w:rsidRPr="0004553D" w:rsidRDefault="002544B6" w:rsidP="002544B6">
            <w:pPr>
              <w:spacing w:after="0" w:line="240" w:lineRule="auto"/>
              <w:jc w:val="center"/>
              <w:rPr>
                <w:rFonts w:eastAsia="Times New Roman" w:cstheme="minorHAnsi"/>
                <w:lang w:eastAsia="en-GB"/>
              </w:rPr>
            </w:pPr>
            <w:r w:rsidRPr="0004553D">
              <w:rPr>
                <w:rFonts w:cstheme="minorHAnsi"/>
                <w:color w:val="000000"/>
              </w:rPr>
              <w:t>1,082,254</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bottom"/>
          </w:tcPr>
          <w:p w14:paraId="2B7DC210" w14:textId="17D4DCE0" w:rsidR="002544B6" w:rsidRPr="0004553D" w:rsidRDefault="002544B6" w:rsidP="002544B6">
            <w:pPr>
              <w:spacing w:after="0" w:line="240" w:lineRule="auto"/>
              <w:jc w:val="center"/>
              <w:rPr>
                <w:rFonts w:eastAsia="Times New Roman" w:cstheme="minorHAnsi"/>
                <w:lang w:eastAsia="en-GB"/>
              </w:rPr>
            </w:pPr>
            <w:r w:rsidRPr="0004553D">
              <w:rPr>
                <w:rFonts w:cstheme="minorHAnsi"/>
                <w:color w:val="000000"/>
              </w:rPr>
              <w:t>23.84%</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bottom"/>
          </w:tcPr>
          <w:p w14:paraId="128A97B6" w14:textId="7AB4FBC9" w:rsidR="002544B6" w:rsidRPr="0004553D" w:rsidRDefault="002544B6" w:rsidP="002544B6">
            <w:pPr>
              <w:spacing w:after="0" w:line="240" w:lineRule="auto"/>
              <w:jc w:val="center"/>
              <w:rPr>
                <w:rFonts w:eastAsia="Times New Roman" w:cstheme="minorHAnsi"/>
                <w:lang w:eastAsia="en-GB"/>
              </w:rPr>
            </w:pPr>
            <w:r w:rsidRPr="0004553D">
              <w:rPr>
                <w:rFonts w:cstheme="minorHAnsi"/>
                <w:color w:val="000000"/>
              </w:rPr>
              <w:t>16,875</w:t>
            </w:r>
          </w:p>
        </w:tc>
      </w:tr>
      <w:tr w:rsidR="002544B6" w:rsidRPr="0004553D" w14:paraId="5F261593" w14:textId="77777777" w:rsidTr="002544B6">
        <w:trPr>
          <w:trHeight w:val="262"/>
        </w:trPr>
        <w:tc>
          <w:tcPr>
            <w:tcW w:w="11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D03B86" w14:textId="77777777" w:rsidR="002544B6" w:rsidRPr="0004553D" w:rsidRDefault="002544B6" w:rsidP="002544B6">
            <w:pPr>
              <w:spacing w:after="0" w:line="240" w:lineRule="auto"/>
              <w:jc w:val="center"/>
              <w:rPr>
                <w:rFonts w:eastAsia="Times New Roman" w:cstheme="minorHAnsi"/>
                <w:b/>
                <w:bCs/>
                <w:lang w:eastAsia="en-GB"/>
              </w:rPr>
            </w:pPr>
            <w:r w:rsidRPr="0004553D">
              <w:rPr>
                <w:rFonts w:eastAsia="Times New Roman" w:cstheme="minorHAnsi"/>
                <w:b/>
                <w:bCs/>
                <w:lang w:eastAsia="en-GB"/>
              </w:rPr>
              <w:t>2</w:t>
            </w:r>
          </w:p>
        </w:tc>
        <w:tc>
          <w:tcPr>
            <w:tcW w:w="1879" w:type="dxa"/>
            <w:tcBorders>
              <w:top w:val="nil"/>
              <w:left w:val="nil"/>
              <w:bottom w:val="single" w:sz="8" w:space="0" w:color="auto"/>
              <w:right w:val="single" w:sz="8" w:space="0" w:color="auto"/>
            </w:tcBorders>
            <w:tcMar>
              <w:top w:w="0" w:type="dxa"/>
              <w:left w:w="108" w:type="dxa"/>
              <w:bottom w:w="0" w:type="dxa"/>
              <w:right w:w="108" w:type="dxa"/>
            </w:tcMar>
            <w:vAlign w:val="bottom"/>
          </w:tcPr>
          <w:p w14:paraId="16886803" w14:textId="768CAD2C" w:rsidR="002544B6" w:rsidRPr="0004553D" w:rsidRDefault="002544B6" w:rsidP="002544B6">
            <w:pPr>
              <w:spacing w:after="0" w:line="240" w:lineRule="auto"/>
              <w:ind w:right="-104"/>
              <w:jc w:val="center"/>
              <w:rPr>
                <w:rFonts w:eastAsia="Times New Roman" w:cstheme="minorHAnsi"/>
                <w:lang w:eastAsia="en-GB"/>
              </w:rPr>
            </w:pPr>
            <w:r>
              <w:rPr>
                <w:rFonts w:cstheme="minorHAnsi"/>
                <w:color w:val="000000"/>
              </w:rPr>
              <w:t>4,036,009</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bottom"/>
          </w:tcPr>
          <w:p w14:paraId="0A0AF6F6" w14:textId="5B2993A9" w:rsidR="002544B6" w:rsidRPr="0004553D" w:rsidRDefault="002544B6" w:rsidP="002544B6">
            <w:pPr>
              <w:spacing w:after="0" w:line="240" w:lineRule="auto"/>
              <w:ind w:firstLine="29"/>
              <w:jc w:val="center"/>
              <w:rPr>
                <w:rFonts w:eastAsia="Times New Roman" w:cstheme="minorHAnsi"/>
                <w:lang w:eastAsia="en-GB"/>
              </w:rPr>
            </w:pPr>
            <w:r>
              <w:rPr>
                <w:rFonts w:cstheme="minorHAnsi"/>
                <w:color w:val="000000"/>
              </w:rPr>
              <w:t>89.05</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bottom"/>
          </w:tcPr>
          <w:p w14:paraId="71AB4324" w14:textId="4AADAA89" w:rsidR="002544B6" w:rsidRPr="0004553D" w:rsidRDefault="002544B6" w:rsidP="002544B6">
            <w:pPr>
              <w:spacing w:after="0" w:line="240" w:lineRule="auto"/>
              <w:jc w:val="center"/>
              <w:rPr>
                <w:rFonts w:eastAsia="Times New Roman" w:cstheme="minorHAnsi"/>
                <w:lang w:eastAsia="en-GB"/>
              </w:rPr>
            </w:pPr>
            <w:r w:rsidRPr="0004553D">
              <w:rPr>
                <w:rFonts w:cstheme="minorHAnsi"/>
                <w:color w:val="000000"/>
              </w:rPr>
              <w:t>496,418</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bottom"/>
          </w:tcPr>
          <w:p w14:paraId="523BA367" w14:textId="5C2A38DE" w:rsidR="002544B6" w:rsidRPr="0004553D" w:rsidRDefault="002544B6" w:rsidP="002544B6">
            <w:pPr>
              <w:spacing w:after="0" w:line="240" w:lineRule="auto"/>
              <w:jc w:val="center"/>
              <w:rPr>
                <w:rFonts w:eastAsia="Times New Roman" w:cstheme="minorHAnsi"/>
                <w:lang w:eastAsia="en-GB"/>
              </w:rPr>
            </w:pPr>
            <w:r w:rsidRPr="0004553D">
              <w:rPr>
                <w:rFonts w:cstheme="minorHAnsi"/>
                <w:color w:val="000000"/>
              </w:rPr>
              <w:t>10.95%</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bottom"/>
          </w:tcPr>
          <w:p w14:paraId="54F892D7" w14:textId="0C2C36B3" w:rsidR="002544B6" w:rsidRPr="0004553D" w:rsidRDefault="002544B6" w:rsidP="002544B6">
            <w:pPr>
              <w:spacing w:after="0" w:line="240" w:lineRule="auto"/>
              <w:jc w:val="center"/>
              <w:rPr>
                <w:rFonts w:eastAsia="Times New Roman" w:cstheme="minorHAnsi"/>
                <w:lang w:eastAsia="en-GB"/>
              </w:rPr>
            </w:pPr>
            <w:r w:rsidRPr="0004553D">
              <w:rPr>
                <w:rFonts w:cstheme="minorHAnsi"/>
                <w:color w:val="000000"/>
              </w:rPr>
              <w:t>24,366</w:t>
            </w:r>
          </w:p>
        </w:tc>
      </w:tr>
    </w:tbl>
    <w:p w14:paraId="51ECB78C" w14:textId="52A9C854" w:rsidR="00233B07" w:rsidRDefault="00233B07" w:rsidP="002544B6">
      <w:pPr>
        <w:spacing w:after="0" w:line="300" w:lineRule="atLeast"/>
        <w:jc w:val="center"/>
        <w:rPr>
          <w:rFonts w:eastAsia="Times New Roman" w:cstheme="minorHAnsi"/>
          <w:color w:val="000000"/>
          <w:lang w:eastAsia="en-GB"/>
        </w:rPr>
      </w:pPr>
    </w:p>
    <w:p w14:paraId="31B78F30" w14:textId="77777777" w:rsidR="004544D2" w:rsidRPr="0087114A" w:rsidRDefault="004544D2" w:rsidP="004544D2">
      <w:pPr>
        <w:spacing w:after="0" w:line="240" w:lineRule="auto"/>
        <w:ind w:left="142" w:hanging="142"/>
        <w:rPr>
          <w:rFonts w:eastAsia="Times New Roman" w:cstheme="minorHAnsi"/>
          <w:color w:val="212529"/>
          <w:sz w:val="18"/>
          <w:szCs w:val="18"/>
          <w:lang w:val="en" w:eastAsia="en-GB"/>
        </w:rPr>
      </w:pPr>
      <w:r w:rsidRPr="006D71D0">
        <w:rPr>
          <w:rFonts w:eastAsia="Times New Roman" w:cstheme="minorHAnsi"/>
          <w:color w:val="212529"/>
          <w:sz w:val="18"/>
          <w:szCs w:val="18"/>
          <w:lang w:val="en" w:eastAsia="en-GB"/>
        </w:rPr>
        <w:t>1.</w:t>
      </w:r>
      <w:r w:rsidRPr="0087114A">
        <w:rPr>
          <w:rFonts w:cstheme="minorHAnsi"/>
          <w:color w:val="212529"/>
          <w:sz w:val="18"/>
          <w:szCs w:val="18"/>
          <w:lang w:val="en"/>
        </w:rPr>
        <w:t xml:space="preserve"> </w:t>
      </w:r>
      <w:r w:rsidRPr="0087114A">
        <w:rPr>
          <w:rFonts w:eastAsia="Times New Roman" w:cstheme="minorHAnsi"/>
          <w:color w:val="212529"/>
          <w:sz w:val="18"/>
          <w:szCs w:val="18"/>
          <w:lang w:val="en" w:eastAsia="en-GB"/>
        </w:rPr>
        <w:t xml:space="preserve"> A withheld vote is not a vote in law and, accordingly, is not counted in the calculation of the proportion of votes "For"</w:t>
      </w:r>
      <w:r>
        <w:rPr>
          <w:rFonts w:eastAsia="Times New Roman" w:cstheme="minorHAnsi"/>
          <w:color w:val="212529"/>
          <w:sz w:val="18"/>
          <w:szCs w:val="18"/>
          <w:lang w:val="en" w:eastAsia="en-GB"/>
        </w:rPr>
        <w:t xml:space="preserve"> a</w:t>
      </w:r>
      <w:r w:rsidRPr="0087114A">
        <w:rPr>
          <w:rFonts w:eastAsia="Times New Roman" w:cstheme="minorHAnsi"/>
          <w:color w:val="212529"/>
          <w:sz w:val="18"/>
          <w:szCs w:val="18"/>
          <w:lang w:val="en" w:eastAsia="en-GB"/>
        </w:rPr>
        <w:t xml:space="preserve">nd "Against" the resolution concerned. </w:t>
      </w:r>
    </w:p>
    <w:p w14:paraId="567716EE" w14:textId="654BD1FA" w:rsidR="004544D2" w:rsidRDefault="004544D2" w:rsidP="004544D2">
      <w:pPr>
        <w:spacing w:beforeAutospacing="1" w:after="0" w:afterAutospacing="1" w:line="240" w:lineRule="auto"/>
        <w:rPr>
          <w:rFonts w:eastAsia="Times New Roman" w:cstheme="minorHAnsi"/>
          <w:color w:val="212529"/>
          <w:sz w:val="18"/>
          <w:szCs w:val="18"/>
          <w:lang w:val="en" w:eastAsia="en-GB"/>
        </w:rPr>
      </w:pPr>
      <w:r w:rsidRPr="0087114A">
        <w:rPr>
          <w:rFonts w:eastAsia="Times New Roman" w:cstheme="minorHAnsi"/>
          <w:color w:val="212529"/>
          <w:sz w:val="18"/>
          <w:szCs w:val="18"/>
          <w:lang w:val="en" w:eastAsia="en-GB"/>
        </w:rPr>
        <w:t xml:space="preserve">2. Any proxy appointments which gave discretion to the Chairman have been included in the vote "For" total. </w:t>
      </w:r>
    </w:p>
    <w:p w14:paraId="28C35E08" w14:textId="30D18059" w:rsidR="004544D2" w:rsidRPr="004544D2" w:rsidRDefault="004544D2" w:rsidP="004544D2">
      <w:pPr>
        <w:spacing w:beforeAutospacing="1" w:after="0" w:afterAutospacing="1" w:line="240" w:lineRule="auto"/>
        <w:rPr>
          <w:rFonts w:eastAsia="Times New Roman" w:cstheme="minorHAnsi"/>
          <w:color w:val="212529"/>
          <w:sz w:val="18"/>
          <w:szCs w:val="18"/>
          <w:lang w:val="en" w:eastAsia="en-GB"/>
        </w:rPr>
      </w:pPr>
      <w:r>
        <w:rPr>
          <w:color w:val="000000"/>
          <w:sz w:val="21"/>
          <w:szCs w:val="21"/>
        </w:rPr>
        <w:t>A copy of the resolutions will be submitted to the National Storage Mechanism and will shortly be available for inspection at: </w:t>
      </w:r>
      <w:hyperlink r:id="rId7" w:tgtFrame="_blank" w:history="1">
        <w:r>
          <w:rPr>
            <w:rStyle w:val="Hyperlink"/>
            <w:sz w:val="21"/>
            <w:szCs w:val="21"/>
          </w:rPr>
          <w:t>https://data.fca.org.uk/#/nsm/nationalstoragemechanism</w:t>
        </w:r>
      </w:hyperlink>
    </w:p>
    <w:p w14:paraId="5BD50830" w14:textId="5B1ACCEC" w:rsidR="00A26224" w:rsidRPr="00A808B3" w:rsidRDefault="002C0261" w:rsidP="00DF02CF">
      <w:pPr>
        <w:spacing w:after="0" w:line="240" w:lineRule="auto"/>
        <w:rPr>
          <w:rFonts w:cstheme="minorHAnsi"/>
          <w:lang w:val="en"/>
        </w:rPr>
      </w:pPr>
      <w:r w:rsidRPr="00A808B3">
        <w:rPr>
          <w:rFonts w:eastAsia="Times New Roman" w:cstheme="minorHAnsi"/>
          <w:lang w:eastAsia="en-GB"/>
        </w:rPr>
        <w:t xml:space="preserve">In accordance with </w:t>
      </w:r>
      <w:r w:rsidR="00F224D6" w:rsidRPr="00A808B3">
        <w:rPr>
          <w:rFonts w:eastAsia="Times New Roman" w:cstheme="minorHAnsi"/>
          <w:lang w:eastAsia="en-GB"/>
        </w:rPr>
        <w:t>Provision 5.2(4)</w:t>
      </w:r>
      <w:r w:rsidRPr="00A808B3">
        <w:rPr>
          <w:rFonts w:eastAsia="Times New Roman" w:cstheme="minorHAnsi"/>
          <w:lang w:eastAsia="en-GB"/>
        </w:rPr>
        <w:t xml:space="preserve"> </w:t>
      </w:r>
      <w:r w:rsidR="007A4858" w:rsidRPr="00A808B3">
        <w:rPr>
          <w:rFonts w:eastAsia="Times New Roman" w:cstheme="minorHAnsi"/>
          <w:lang w:eastAsia="en-GB"/>
        </w:rPr>
        <w:t>of the AIC Code of Corporate Governance</w:t>
      </w:r>
      <w:r w:rsidR="003532E1" w:rsidRPr="00A808B3">
        <w:rPr>
          <w:rFonts w:eastAsia="Times New Roman" w:cstheme="minorHAnsi"/>
          <w:lang w:eastAsia="en-GB"/>
        </w:rPr>
        <w:t xml:space="preserve">, </w:t>
      </w:r>
      <w:r w:rsidR="00864AE8" w:rsidRPr="00A808B3">
        <w:rPr>
          <w:rFonts w:eastAsia="Times New Roman" w:cstheme="minorHAnsi"/>
          <w:lang w:eastAsia="en-GB"/>
        </w:rPr>
        <w:t xml:space="preserve">the Board reports that </w:t>
      </w:r>
      <w:r w:rsidR="00CA7239" w:rsidRPr="00A808B3">
        <w:rPr>
          <w:rFonts w:eastAsia="Times New Roman" w:cstheme="minorHAnsi"/>
          <w:lang w:eastAsia="en-GB"/>
        </w:rPr>
        <w:t>Resolution</w:t>
      </w:r>
      <w:r w:rsidR="00F224D6" w:rsidRPr="00A808B3">
        <w:rPr>
          <w:rFonts w:eastAsia="Times New Roman" w:cstheme="minorHAnsi"/>
          <w:lang w:eastAsia="en-GB"/>
        </w:rPr>
        <w:t xml:space="preserve"> 1 r</w:t>
      </w:r>
      <w:r w:rsidR="00FC6AE6" w:rsidRPr="00A808B3">
        <w:rPr>
          <w:rFonts w:eastAsia="Times New Roman" w:cstheme="minorHAnsi"/>
          <w:lang w:eastAsia="en-GB"/>
        </w:rPr>
        <w:t xml:space="preserve">eceived </w:t>
      </w:r>
      <w:r w:rsidR="00476767" w:rsidRPr="00A808B3">
        <w:rPr>
          <w:rFonts w:eastAsia="Times New Roman" w:cstheme="minorHAnsi"/>
          <w:lang w:eastAsia="en-GB"/>
        </w:rPr>
        <w:t>23.86%</w:t>
      </w:r>
      <w:r w:rsidR="00FC6AE6" w:rsidRPr="00A808B3">
        <w:rPr>
          <w:rFonts w:eastAsia="Times New Roman" w:cstheme="minorHAnsi"/>
          <w:lang w:eastAsia="en-GB"/>
        </w:rPr>
        <w:t xml:space="preserve"> of the votes cast Against the resolutions.  </w:t>
      </w:r>
      <w:r w:rsidR="00A26224" w:rsidRPr="00A808B3">
        <w:rPr>
          <w:rFonts w:cstheme="minorHAnsi"/>
          <w:lang w:val="en"/>
        </w:rPr>
        <w:t>The Board notes the lower levels of support received for Resolution</w:t>
      </w:r>
      <w:r w:rsidR="00476767" w:rsidRPr="00A808B3">
        <w:rPr>
          <w:rFonts w:cstheme="minorHAnsi"/>
          <w:lang w:val="en"/>
        </w:rPr>
        <w:t xml:space="preserve"> 1, </w:t>
      </w:r>
      <w:bookmarkStart w:id="0" w:name="_Hlk116457579"/>
      <w:r w:rsidR="00476767" w:rsidRPr="00A808B3">
        <w:rPr>
          <w:rFonts w:cstheme="minorHAnsi"/>
          <w:lang w:val="en"/>
        </w:rPr>
        <w:t xml:space="preserve">a </w:t>
      </w:r>
      <w:r w:rsidR="00476767" w:rsidRPr="00A808B3">
        <w:rPr>
          <w:rFonts w:cstheme="minorHAnsi"/>
        </w:rPr>
        <w:t xml:space="preserve">composite resolution for the authority to allot </w:t>
      </w:r>
      <w:r w:rsidR="0004553D" w:rsidRPr="00A808B3">
        <w:rPr>
          <w:rFonts w:cstheme="minorHAnsi"/>
        </w:rPr>
        <w:t xml:space="preserve">shares </w:t>
      </w:r>
      <w:r w:rsidR="00476767" w:rsidRPr="00A808B3">
        <w:rPr>
          <w:rFonts w:cstheme="minorHAnsi"/>
        </w:rPr>
        <w:t xml:space="preserve">and </w:t>
      </w:r>
      <w:r w:rsidR="0004553D" w:rsidRPr="00A808B3">
        <w:rPr>
          <w:rFonts w:cstheme="minorHAnsi"/>
        </w:rPr>
        <w:t xml:space="preserve">the </w:t>
      </w:r>
      <w:r w:rsidR="00476767" w:rsidRPr="00A808B3">
        <w:rPr>
          <w:rFonts w:cstheme="minorHAnsi"/>
        </w:rPr>
        <w:t>disapplication of pre-emption rights</w:t>
      </w:r>
      <w:bookmarkEnd w:id="0"/>
      <w:r w:rsidR="00476767" w:rsidRPr="00A808B3">
        <w:rPr>
          <w:rFonts w:cstheme="minorHAnsi"/>
        </w:rPr>
        <w:t xml:space="preserve">.  The Board will </w:t>
      </w:r>
      <w:r w:rsidR="00A26224" w:rsidRPr="00A808B3">
        <w:rPr>
          <w:rFonts w:cstheme="minorHAnsi"/>
          <w:lang w:val="en"/>
        </w:rPr>
        <w:t xml:space="preserve">engage with </w:t>
      </w:r>
      <w:r w:rsidR="00476767" w:rsidRPr="00A808B3">
        <w:rPr>
          <w:rFonts w:cstheme="minorHAnsi"/>
          <w:lang w:val="en"/>
        </w:rPr>
        <w:t xml:space="preserve">the 21 </w:t>
      </w:r>
      <w:r w:rsidR="00A26224" w:rsidRPr="00A808B3">
        <w:rPr>
          <w:rFonts w:cstheme="minorHAnsi"/>
          <w:lang w:val="en"/>
        </w:rPr>
        <w:t xml:space="preserve">shareholders </w:t>
      </w:r>
      <w:r w:rsidR="001D0419" w:rsidRPr="00A808B3">
        <w:rPr>
          <w:rFonts w:cstheme="minorHAnsi"/>
          <w:lang w:val="en"/>
        </w:rPr>
        <w:t>who voted Against</w:t>
      </w:r>
      <w:r w:rsidR="0004553D" w:rsidRPr="00A808B3">
        <w:rPr>
          <w:rFonts w:cstheme="minorHAnsi"/>
          <w:lang w:val="en"/>
        </w:rPr>
        <w:t xml:space="preserve"> </w:t>
      </w:r>
      <w:r w:rsidR="00A26224" w:rsidRPr="00A808B3">
        <w:rPr>
          <w:rFonts w:cstheme="minorHAnsi"/>
          <w:lang w:val="en"/>
        </w:rPr>
        <w:t>to understand the reasoning behind their decision not to support th</w:t>
      </w:r>
      <w:r w:rsidR="001D0419" w:rsidRPr="00A808B3">
        <w:rPr>
          <w:rFonts w:cstheme="minorHAnsi"/>
          <w:lang w:val="en"/>
        </w:rPr>
        <w:t>i</w:t>
      </w:r>
      <w:r w:rsidR="00A26224" w:rsidRPr="00A808B3">
        <w:rPr>
          <w:rFonts w:cstheme="minorHAnsi"/>
          <w:lang w:val="en"/>
        </w:rPr>
        <w:t>s</w:t>
      </w:r>
      <w:r w:rsidR="001D0419" w:rsidRPr="00A808B3">
        <w:rPr>
          <w:rFonts w:cstheme="minorHAnsi"/>
          <w:lang w:val="en"/>
        </w:rPr>
        <w:t xml:space="preserve"> </w:t>
      </w:r>
      <w:r w:rsidR="0004553D" w:rsidRPr="00A808B3">
        <w:rPr>
          <w:rFonts w:cstheme="minorHAnsi"/>
          <w:lang w:val="en"/>
        </w:rPr>
        <w:t>r</w:t>
      </w:r>
      <w:r w:rsidR="00A26224" w:rsidRPr="00A808B3">
        <w:rPr>
          <w:rFonts w:cstheme="minorHAnsi"/>
          <w:lang w:val="en"/>
        </w:rPr>
        <w:t xml:space="preserve">esolution and will continue to engage </w:t>
      </w:r>
      <w:r w:rsidR="001D0419" w:rsidRPr="00A808B3">
        <w:rPr>
          <w:rFonts w:cstheme="minorHAnsi"/>
          <w:lang w:val="en"/>
        </w:rPr>
        <w:t>prior to the Annual Report being published</w:t>
      </w:r>
      <w:r w:rsidR="00A26224" w:rsidRPr="00A808B3">
        <w:rPr>
          <w:rFonts w:cstheme="minorHAnsi"/>
          <w:lang w:val="en"/>
        </w:rPr>
        <w:t>.</w:t>
      </w:r>
    </w:p>
    <w:p w14:paraId="2345E90B" w14:textId="7983AA2F" w:rsidR="00DF02CF" w:rsidRPr="00A808B3" w:rsidRDefault="00DF02CF" w:rsidP="00DF02CF">
      <w:pPr>
        <w:spacing w:after="0" w:line="240" w:lineRule="auto"/>
        <w:rPr>
          <w:rFonts w:eastAsia="Times New Roman" w:cstheme="minorHAnsi"/>
          <w:lang w:val="en" w:eastAsia="en-GB"/>
        </w:rPr>
      </w:pPr>
    </w:p>
    <w:p w14:paraId="4C0A0DAF" w14:textId="085430CF" w:rsidR="00DF02CF" w:rsidRPr="00A808B3" w:rsidRDefault="00DF02CF" w:rsidP="00DF02CF">
      <w:pPr>
        <w:spacing w:after="0" w:line="240" w:lineRule="auto"/>
        <w:rPr>
          <w:rFonts w:eastAsia="Times New Roman" w:cstheme="minorHAnsi"/>
          <w:lang w:val="en" w:eastAsia="en-GB"/>
        </w:rPr>
      </w:pPr>
      <w:r w:rsidRPr="00A808B3">
        <w:rPr>
          <w:rFonts w:eastAsia="Times New Roman" w:cstheme="minorHAnsi"/>
          <w:lang w:val="en" w:eastAsia="en-GB"/>
        </w:rPr>
        <w:t xml:space="preserve">The Board seeks to maintain the highest standards of governance and to ensure an open and transparent dialogue with shareholders. The Board will continue to engage with, and listen to, the Company's shareholders. In accordance with the </w:t>
      </w:r>
      <w:r w:rsidR="00864AE8" w:rsidRPr="00A808B3">
        <w:rPr>
          <w:rFonts w:eastAsia="Times New Roman" w:cstheme="minorHAnsi"/>
          <w:lang w:val="en" w:eastAsia="en-GB"/>
        </w:rPr>
        <w:t>AIC</w:t>
      </w:r>
      <w:r w:rsidRPr="00A808B3">
        <w:rPr>
          <w:rFonts w:eastAsia="Times New Roman" w:cstheme="minorHAnsi"/>
          <w:lang w:val="en" w:eastAsia="en-GB"/>
        </w:rPr>
        <w:t xml:space="preserve"> Corporate Governance Code, the Company will publish an update within six months.</w:t>
      </w:r>
    </w:p>
    <w:p w14:paraId="20E1393D" w14:textId="5DD26BF0" w:rsidR="00D63413" w:rsidRPr="0004553D" w:rsidRDefault="00D63413" w:rsidP="00DF02CF">
      <w:pPr>
        <w:spacing w:after="0" w:line="240" w:lineRule="auto"/>
        <w:rPr>
          <w:rFonts w:eastAsia="Times New Roman" w:cstheme="minorHAnsi"/>
          <w:color w:val="212529"/>
          <w:lang w:val="en" w:eastAsia="en-GB"/>
        </w:rPr>
      </w:pPr>
    </w:p>
    <w:p w14:paraId="1AF5E744" w14:textId="77777777" w:rsidR="00D63413" w:rsidRPr="0004553D" w:rsidRDefault="00D63413" w:rsidP="00D63413">
      <w:pPr>
        <w:pStyle w:val="hj"/>
        <w:spacing w:before="0" w:beforeAutospacing="0" w:after="0" w:afterAutospacing="0"/>
        <w:jc w:val="both"/>
        <w:rPr>
          <w:rFonts w:asciiTheme="minorHAnsi" w:hAnsiTheme="minorHAnsi" w:cstheme="minorHAnsi"/>
          <w:sz w:val="22"/>
          <w:szCs w:val="22"/>
        </w:rPr>
      </w:pPr>
      <w:r w:rsidRPr="0004553D">
        <w:rPr>
          <w:rStyle w:val="hl"/>
          <w:rFonts w:asciiTheme="minorHAnsi" w:hAnsiTheme="minorHAnsi" w:cstheme="minorHAnsi"/>
          <w:sz w:val="22"/>
          <w:szCs w:val="22"/>
        </w:rPr>
        <w:t>For further information please contact:</w:t>
      </w:r>
    </w:p>
    <w:p w14:paraId="66B5DAA4" w14:textId="77777777" w:rsidR="00D63413" w:rsidRPr="0004553D" w:rsidRDefault="00D63413" w:rsidP="00D63413">
      <w:pPr>
        <w:pStyle w:val="hj"/>
        <w:spacing w:before="0" w:beforeAutospacing="0" w:after="0" w:afterAutospacing="0"/>
        <w:jc w:val="both"/>
        <w:rPr>
          <w:rFonts w:asciiTheme="minorHAnsi" w:hAnsiTheme="minorHAnsi" w:cstheme="minorHAnsi"/>
          <w:sz w:val="22"/>
          <w:szCs w:val="22"/>
        </w:rPr>
      </w:pPr>
      <w:r w:rsidRPr="0004553D">
        <w:rPr>
          <w:rStyle w:val="gy"/>
          <w:rFonts w:asciiTheme="minorHAnsi" w:hAnsiTheme="minorHAnsi" w:cstheme="minorHAnsi"/>
          <w:sz w:val="22"/>
          <w:szCs w:val="22"/>
        </w:rPr>
        <w:t> </w:t>
      </w:r>
    </w:p>
    <w:p w14:paraId="6991B598" w14:textId="77777777" w:rsidR="00D63413" w:rsidRPr="0004553D" w:rsidRDefault="00D63413" w:rsidP="00D63413">
      <w:pPr>
        <w:pStyle w:val="hj"/>
        <w:spacing w:before="0" w:beforeAutospacing="0" w:after="0" w:afterAutospacing="0"/>
        <w:jc w:val="both"/>
        <w:rPr>
          <w:rFonts w:asciiTheme="minorHAnsi" w:hAnsiTheme="minorHAnsi" w:cstheme="minorHAnsi"/>
          <w:sz w:val="22"/>
          <w:szCs w:val="22"/>
        </w:rPr>
      </w:pPr>
      <w:r w:rsidRPr="0004553D">
        <w:rPr>
          <w:rStyle w:val="gy"/>
          <w:rFonts w:asciiTheme="minorHAnsi" w:hAnsiTheme="minorHAnsi" w:cstheme="minorHAnsi"/>
          <w:sz w:val="22"/>
          <w:szCs w:val="22"/>
        </w:rPr>
        <w:t> </w:t>
      </w:r>
    </w:p>
    <w:p w14:paraId="15F07744" w14:textId="77777777" w:rsidR="00D63413" w:rsidRPr="0004553D" w:rsidRDefault="00D63413" w:rsidP="00D63413">
      <w:pPr>
        <w:pStyle w:val="hp"/>
        <w:spacing w:before="0" w:beforeAutospacing="0" w:after="0" w:afterAutospacing="0"/>
        <w:rPr>
          <w:rFonts w:asciiTheme="minorHAnsi" w:hAnsiTheme="minorHAnsi" w:cstheme="minorHAnsi"/>
          <w:sz w:val="22"/>
          <w:szCs w:val="22"/>
        </w:rPr>
      </w:pPr>
      <w:r w:rsidRPr="0004553D">
        <w:rPr>
          <w:rStyle w:val="gt"/>
          <w:rFonts w:asciiTheme="minorHAnsi" w:hAnsiTheme="minorHAnsi" w:cstheme="minorHAnsi"/>
          <w:sz w:val="22"/>
          <w:szCs w:val="22"/>
        </w:rPr>
        <w:t>Gresham House Asset Management Limited</w:t>
      </w:r>
    </w:p>
    <w:p w14:paraId="451C2686" w14:textId="77777777" w:rsidR="00D63413" w:rsidRPr="0004553D" w:rsidRDefault="00D63413" w:rsidP="00D63413">
      <w:pPr>
        <w:pStyle w:val="hp"/>
        <w:spacing w:before="0" w:beforeAutospacing="0" w:after="0" w:afterAutospacing="0"/>
        <w:rPr>
          <w:rFonts w:asciiTheme="minorHAnsi" w:hAnsiTheme="minorHAnsi" w:cstheme="minorHAnsi"/>
          <w:sz w:val="22"/>
          <w:szCs w:val="22"/>
        </w:rPr>
      </w:pPr>
      <w:r w:rsidRPr="0004553D">
        <w:rPr>
          <w:rStyle w:val="gt"/>
          <w:rFonts w:asciiTheme="minorHAnsi" w:hAnsiTheme="minorHAnsi" w:cstheme="minorHAnsi"/>
          <w:sz w:val="22"/>
          <w:szCs w:val="22"/>
        </w:rPr>
        <w:t>Company Secretary</w:t>
      </w:r>
    </w:p>
    <w:p w14:paraId="63FEACB5" w14:textId="77777777" w:rsidR="00D63413" w:rsidRPr="0004553D" w:rsidRDefault="00D63413" w:rsidP="00D63413">
      <w:pPr>
        <w:pStyle w:val="hp"/>
        <w:spacing w:before="0" w:beforeAutospacing="0" w:after="0" w:afterAutospacing="0"/>
        <w:rPr>
          <w:rFonts w:asciiTheme="minorHAnsi" w:hAnsiTheme="minorHAnsi" w:cstheme="minorHAnsi"/>
          <w:sz w:val="22"/>
          <w:szCs w:val="22"/>
        </w:rPr>
      </w:pPr>
      <w:r w:rsidRPr="0004553D">
        <w:rPr>
          <w:rStyle w:val="gt"/>
          <w:rFonts w:asciiTheme="minorHAnsi" w:hAnsiTheme="minorHAnsi" w:cstheme="minorHAnsi"/>
          <w:sz w:val="22"/>
          <w:szCs w:val="22"/>
        </w:rPr>
        <w:t> </w:t>
      </w:r>
    </w:p>
    <w:p w14:paraId="3C348747" w14:textId="77777777" w:rsidR="00D63413" w:rsidRPr="0004553D" w:rsidRDefault="00D63413" w:rsidP="00D63413">
      <w:pPr>
        <w:pStyle w:val="hp"/>
        <w:spacing w:before="0" w:beforeAutospacing="0" w:after="0" w:afterAutospacing="0"/>
        <w:rPr>
          <w:rFonts w:asciiTheme="minorHAnsi" w:hAnsiTheme="minorHAnsi" w:cstheme="minorHAnsi"/>
          <w:sz w:val="22"/>
          <w:szCs w:val="22"/>
        </w:rPr>
      </w:pPr>
      <w:r w:rsidRPr="0004553D">
        <w:rPr>
          <w:rStyle w:val="gt"/>
          <w:rFonts w:asciiTheme="minorHAnsi" w:hAnsiTheme="minorHAnsi" w:cstheme="minorHAnsi"/>
          <w:sz w:val="22"/>
          <w:szCs w:val="22"/>
        </w:rPr>
        <w:t>+44 (0)20 7382 0999</w:t>
      </w:r>
    </w:p>
    <w:p w14:paraId="38BBBF60" w14:textId="5A34FA8A" w:rsidR="00DF02CF" w:rsidRDefault="00DF02CF" w:rsidP="00DF02CF">
      <w:pPr>
        <w:spacing w:after="0" w:line="240" w:lineRule="auto"/>
        <w:rPr>
          <w:rFonts w:eastAsia="Times New Roman" w:cstheme="minorHAnsi"/>
          <w:color w:val="212529"/>
          <w:lang w:val="en" w:eastAsia="en-GB"/>
        </w:rPr>
      </w:pPr>
    </w:p>
    <w:sectPr w:rsidR="00DF02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327"/>
    <w:rsid w:val="0004553D"/>
    <w:rsid w:val="000F744F"/>
    <w:rsid w:val="0010573F"/>
    <w:rsid w:val="00124327"/>
    <w:rsid w:val="00170D41"/>
    <w:rsid w:val="0018526F"/>
    <w:rsid w:val="001D0419"/>
    <w:rsid w:val="001E20B4"/>
    <w:rsid w:val="00232B89"/>
    <w:rsid w:val="00233B07"/>
    <w:rsid w:val="002544B6"/>
    <w:rsid w:val="00291716"/>
    <w:rsid w:val="002C0261"/>
    <w:rsid w:val="00301359"/>
    <w:rsid w:val="003426D2"/>
    <w:rsid w:val="003532E1"/>
    <w:rsid w:val="003828E9"/>
    <w:rsid w:val="003C47B6"/>
    <w:rsid w:val="004072A3"/>
    <w:rsid w:val="004544D2"/>
    <w:rsid w:val="0047644B"/>
    <w:rsid w:val="00476767"/>
    <w:rsid w:val="004825E0"/>
    <w:rsid w:val="005B03D0"/>
    <w:rsid w:val="005E2243"/>
    <w:rsid w:val="0061043C"/>
    <w:rsid w:val="006B1C09"/>
    <w:rsid w:val="00773813"/>
    <w:rsid w:val="00793FA4"/>
    <w:rsid w:val="007A4858"/>
    <w:rsid w:val="00802F68"/>
    <w:rsid w:val="00841C8F"/>
    <w:rsid w:val="00864AE8"/>
    <w:rsid w:val="00897A16"/>
    <w:rsid w:val="008C4ABA"/>
    <w:rsid w:val="008D70CF"/>
    <w:rsid w:val="00931A45"/>
    <w:rsid w:val="00967558"/>
    <w:rsid w:val="00983122"/>
    <w:rsid w:val="00A26224"/>
    <w:rsid w:val="00A808B3"/>
    <w:rsid w:val="00A81BF9"/>
    <w:rsid w:val="00A83D7C"/>
    <w:rsid w:val="00AF54E8"/>
    <w:rsid w:val="00BD15E7"/>
    <w:rsid w:val="00C044DD"/>
    <w:rsid w:val="00CA68BA"/>
    <w:rsid w:val="00CA7239"/>
    <w:rsid w:val="00D17BAE"/>
    <w:rsid w:val="00D36DDD"/>
    <w:rsid w:val="00D63413"/>
    <w:rsid w:val="00DB05EE"/>
    <w:rsid w:val="00DC2ADF"/>
    <w:rsid w:val="00DF02CF"/>
    <w:rsid w:val="00E05168"/>
    <w:rsid w:val="00EA0D61"/>
    <w:rsid w:val="00EE4668"/>
    <w:rsid w:val="00F224D6"/>
    <w:rsid w:val="00F56476"/>
    <w:rsid w:val="00FC0B92"/>
    <w:rsid w:val="00FC6AE6"/>
    <w:rsid w:val="00FD46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36463"/>
  <w15:chartTrackingRefBased/>
  <w15:docId w15:val="{2A4D4983-75C4-4738-9639-322213E3C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F02CF"/>
    <w:rPr>
      <w:strike w:val="0"/>
      <w:dstrike w:val="0"/>
      <w:color w:val="806734"/>
      <w:u w:val="single"/>
      <w:effect w:val="none"/>
      <w:shd w:val="clear" w:color="auto" w:fill="auto"/>
    </w:rPr>
  </w:style>
  <w:style w:type="paragraph" w:customStyle="1" w:styleId="hj">
    <w:name w:val="hj"/>
    <w:basedOn w:val="Normal"/>
    <w:rsid w:val="00D6341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l">
    <w:name w:val="hl"/>
    <w:basedOn w:val="DefaultParagraphFont"/>
    <w:rsid w:val="00D63413"/>
  </w:style>
  <w:style w:type="character" w:customStyle="1" w:styleId="gy">
    <w:name w:val="gy"/>
    <w:basedOn w:val="DefaultParagraphFont"/>
    <w:rsid w:val="00D63413"/>
  </w:style>
  <w:style w:type="paragraph" w:customStyle="1" w:styleId="hp">
    <w:name w:val="hp"/>
    <w:basedOn w:val="Normal"/>
    <w:rsid w:val="00D6341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gt">
    <w:name w:val="gt"/>
    <w:basedOn w:val="DefaultParagraphFont"/>
    <w:rsid w:val="00D634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05646">
      <w:bodyDiv w:val="1"/>
      <w:marLeft w:val="0"/>
      <w:marRight w:val="0"/>
      <w:marTop w:val="0"/>
      <w:marBottom w:val="0"/>
      <w:divBdr>
        <w:top w:val="none" w:sz="0" w:space="0" w:color="auto"/>
        <w:left w:val="none" w:sz="0" w:space="0" w:color="auto"/>
        <w:bottom w:val="none" w:sz="0" w:space="0" w:color="auto"/>
        <w:right w:val="none" w:sz="0" w:space="0" w:color="auto"/>
      </w:divBdr>
    </w:div>
    <w:div w:id="506872084">
      <w:bodyDiv w:val="1"/>
      <w:marLeft w:val="0"/>
      <w:marRight w:val="0"/>
      <w:marTop w:val="0"/>
      <w:marBottom w:val="0"/>
      <w:divBdr>
        <w:top w:val="none" w:sz="0" w:space="0" w:color="auto"/>
        <w:left w:val="none" w:sz="0" w:space="0" w:color="auto"/>
        <w:bottom w:val="none" w:sz="0" w:space="0" w:color="auto"/>
        <w:right w:val="none" w:sz="0" w:space="0" w:color="auto"/>
      </w:divBdr>
    </w:div>
    <w:div w:id="546920552">
      <w:bodyDiv w:val="1"/>
      <w:marLeft w:val="0"/>
      <w:marRight w:val="0"/>
      <w:marTop w:val="0"/>
      <w:marBottom w:val="0"/>
      <w:divBdr>
        <w:top w:val="none" w:sz="0" w:space="0" w:color="auto"/>
        <w:left w:val="none" w:sz="0" w:space="0" w:color="auto"/>
        <w:bottom w:val="none" w:sz="0" w:space="0" w:color="auto"/>
        <w:right w:val="none" w:sz="0" w:space="0" w:color="auto"/>
      </w:divBdr>
    </w:div>
    <w:div w:id="662464912">
      <w:bodyDiv w:val="1"/>
      <w:marLeft w:val="0"/>
      <w:marRight w:val="0"/>
      <w:marTop w:val="0"/>
      <w:marBottom w:val="0"/>
      <w:divBdr>
        <w:top w:val="none" w:sz="0" w:space="0" w:color="auto"/>
        <w:left w:val="none" w:sz="0" w:space="0" w:color="auto"/>
        <w:bottom w:val="none" w:sz="0" w:space="0" w:color="auto"/>
        <w:right w:val="none" w:sz="0" w:space="0" w:color="auto"/>
      </w:divBdr>
    </w:div>
    <w:div w:id="667096613">
      <w:bodyDiv w:val="1"/>
      <w:marLeft w:val="0"/>
      <w:marRight w:val="0"/>
      <w:marTop w:val="0"/>
      <w:marBottom w:val="0"/>
      <w:divBdr>
        <w:top w:val="none" w:sz="0" w:space="0" w:color="auto"/>
        <w:left w:val="none" w:sz="0" w:space="0" w:color="auto"/>
        <w:bottom w:val="none" w:sz="0" w:space="0" w:color="auto"/>
        <w:right w:val="none" w:sz="0" w:space="0" w:color="auto"/>
      </w:divBdr>
    </w:div>
    <w:div w:id="968629391">
      <w:bodyDiv w:val="1"/>
      <w:marLeft w:val="0"/>
      <w:marRight w:val="0"/>
      <w:marTop w:val="0"/>
      <w:marBottom w:val="0"/>
      <w:divBdr>
        <w:top w:val="none" w:sz="0" w:space="0" w:color="auto"/>
        <w:left w:val="none" w:sz="0" w:space="0" w:color="auto"/>
        <w:bottom w:val="none" w:sz="0" w:space="0" w:color="auto"/>
        <w:right w:val="none" w:sz="0" w:space="0" w:color="auto"/>
      </w:divBdr>
      <w:divsChild>
        <w:div w:id="1918246549">
          <w:marLeft w:val="0"/>
          <w:marRight w:val="0"/>
          <w:marTop w:val="0"/>
          <w:marBottom w:val="0"/>
          <w:divBdr>
            <w:top w:val="none" w:sz="0" w:space="0" w:color="auto"/>
            <w:left w:val="none" w:sz="0" w:space="0" w:color="auto"/>
            <w:bottom w:val="none" w:sz="0" w:space="0" w:color="auto"/>
            <w:right w:val="none" w:sz="0" w:space="0" w:color="auto"/>
          </w:divBdr>
          <w:divsChild>
            <w:div w:id="322510786">
              <w:marLeft w:val="0"/>
              <w:marRight w:val="0"/>
              <w:marTop w:val="0"/>
              <w:marBottom w:val="0"/>
              <w:divBdr>
                <w:top w:val="none" w:sz="0" w:space="0" w:color="auto"/>
                <w:left w:val="none" w:sz="0" w:space="0" w:color="auto"/>
                <w:bottom w:val="none" w:sz="0" w:space="0" w:color="auto"/>
                <w:right w:val="none" w:sz="0" w:space="0" w:color="auto"/>
              </w:divBdr>
              <w:divsChild>
                <w:div w:id="1100419734">
                  <w:marLeft w:val="0"/>
                  <w:marRight w:val="0"/>
                  <w:marTop w:val="0"/>
                  <w:marBottom w:val="0"/>
                  <w:divBdr>
                    <w:top w:val="none" w:sz="0" w:space="0" w:color="auto"/>
                    <w:left w:val="none" w:sz="0" w:space="0" w:color="auto"/>
                    <w:bottom w:val="none" w:sz="0" w:space="0" w:color="auto"/>
                    <w:right w:val="none" w:sz="0" w:space="0" w:color="auto"/>
                  </w:divBdr>
                  <w:divsChild>
                    <w:div w:id="686181506">
                      <w:marLeft w:val="0"/>
                      <w:marRight w:val="0"/>
                      <w:marTop w:val="0"/>
                      <w:marBottom w:val="0"/>
                      <w:divBdr>
                        <w:top w:val="none" w:sz="0" w:space="0" w:color="auto"/>
                        <w:left w:val="none" w:sz="0" w:space="0" w:color="auto"/>
                        <w:bottom w:val="none" w:sz="0" w:space="0" w:color="auto"/>
                        <w:right w:val="none" w:sz="0" w:space="0" w:color="auto"/>
                      </w:divBdr>
                      <w:divsChild>
                        <w:div w:id="42650870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432160531">
      <w:bodyDiv w:val="1"/>
      <w:marLeft w:val="0"/>
      <w:marRight w:val="0"/>
      <w:marTop w:val="0"/>
      <w:marBottom w:val="0"/>
      <w:divBdr>
        <w:top w:val="none" w:sz="0" w:space="0" w:color="auto"/>
        <w:left w:val="none" w:sz="0" w:space="0" w:color="auto"/>
        <w:bottom w:val="none" w:sz="0" w:space="0" w:color="auto"/>
        <w:right w:val="none" w:sz="0" w:space="0" w:color="auto"/>
      </w:divBdr>
    </w:div>
    <w:div w:id="1685205093">
      <w:bodyDiv w:val="1"/>
      <w:marLeft w:val="0"/>
      <w:marRight w:val="0"/>
      <w:marTop w:val="0"/>
      <w:marBottom w:val="0"/>
      <w:divBdr>
        <w:top w:val="none" w:sz="0" w:space="0" w:color="auto"/>
        <w:left w:val="none" w:sz="0" w:space="0" w:color="auto"/>
        <w:bottom w:val="none" w:sz="0" w:space="0" w:color="auto"/>
        <w:right w:val="none" w:sz="0" w:space="0" w:color="auto"/>
      </w:divBdr>
    </w:div>
    <w:div w:id="175501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globenewswire.com/Tracker?data=4mM3uvF4ZuvfDLPPh3l0l1P5R3LhyUFaGx70BPvIscJnvF0gHicKWTZV9KrseQZTh0FlrAFGvbyTzFgmGKKytVc2IJXd2jAokP7Hxncltip2b6Ceg2CkfyXGOBazXE8KCf6adi25v4-LwFtNyAdBwpFCmv6faxNRW1xpkRCl1W6AjV91L2_bjMf7IQqbtr8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57DDCF1957F674AA20850E2D39C6CAE" ma:contentTypeVersion="11" ma:contentTypeDescription="Create a new document." ma:contentTypeScope="" ma:versionID="a82192a44a56a71c207cdf0769eebba5">
  <xsd:schema xmlns:xsd="http://www.w3.org/2001/XMLSchema" xmlns:xs="http://www.w3.org/2001/XMLSchema" xmlns:p="http://schemas.microsoft.com/office/2006/metadata/properties" xmlns:ns2="971628dd-e72d-4c6d-82a1-65014153086c" xmlns:ns3="076e618a-74d9-444b-aa5a-28d5e2990c5d" targetNamespace="http://schemas.microsoft.com/office/2006/metadata/properties" ma:root="true" ma:fieldsID="d23c0b8193e49691c33b6384a3bfccbf" ns2:_="" ns3:_="">
    <xsd:import namespace="971628dd-e72d-4c6d-82a1-65014153086c"/>
    <xsd:import namespace="076e618a-74d9-444b-aa5a-28d5e2990c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1628dd-e72d-4c6d-82a1-6501415308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6e618a-74d9-444b-aa5a-28d5e2990c5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3AF65B-FCE3-4A2C-A185-17A4CB8FA792}">
  <ds:schemaRefs>
    <ds:schemaRef ds:uri="http://schemas.microsoft.com/sharepoint/v3/contenttype/forms"/>
  </ds:schemaRefs>
</ds:datastoreItem>
</file>

<file path=customXml/itemProps2.xml><?xml version="1.0" encoding="utf-8"?>
<ds:datastoreItem xmlns:ds="http://schemas.openxmlformats.org/officeDocument/2006/customXml" ds:itemID="{2971DF77-B6D7-4D2E-80B4-E54AE7455EA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6A152C-C788-4B6B-A5F2-E56BFF0311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1628dd-e72d-4c6d-82a1-65014153086c"/>
    <ds:schemaRef ds:uri="076e618a-74d9-444b-aa5a-28d5e2990c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345</Words>
  <Characters>1972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Fraser</dc:creator>
  <cp:keywords/>
  <dc:description/>
  <cp:lastModifiedBy>Juanita Fan</cp:lastModifiedBy>
  <cp:revision>3</cp:revision>
  <cp:lastPrinted>2022-10-12T08:55:00Z</cp:lastPrinted>
  <dcterms:created xsi:type="dcterms:W3CDTF">2022-10-13T08:26:00Z</dcterms:created>
  <dcterms:modified xsi:type="dcterms:W3CDTF">2022-10-13T08:27:00Z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0x010100B57DDCF1957F674AA20850E2D39C6CAE</vt:lpwstr>
  </property>
</Properties>
</file>