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5E0E" w14:textId="69C7148E" w:rsidR="00B06429" w:rsidRPr="00A52608" w:rsidRDefault="00B06429" w:rsidP="00A52608">
      <w:pPr>
        <w:pStyle w:val="ao"/>
        <w:rPr>
          <w:color w:val="000000"/>
        </w:rPr>
      </w:pPr>
      <w:r>
        <w:rPr>
          <w:rStyle w:val="aq"/>
          <w:rFonts w:ascii="Calibri" w:hAnsi="Calibri" w:cs="Calibri"/>
          <w:b/>
          <w:bCs/>
          <w:color w:val="000000"/>
          <w:sz w:val="28"/>
          <w:szCs w:val="28"/>
        </w:rPr>
        <w:t>MOBEUS INCOME &amp; GROWTH VCT PLC</w:t>
      </w:r>
      <w:r>
        <w:rPr>
          <w:rStyle w:val="ag"/>
          <w:rFonts w:ascii="Myriad Pro" w:hAnsi="Myriad Pro" w:cs="Calibri"/>
          <w:b/>
          <w:bCs/>
          <w:color w:val="212721"/>
          <w:sz w:val="22"/>
          <w:szCs w:val="22"/>
        </w:rPr>
        <w:t> </w:t>
      </w:r>
    </w:p>
    <w:p w14:paraId="7482E8C2" w14:textId="77777777" w:rsidR="00B06429" w:rsidRDefault="00B06429" w:rsidP="00B06429">
      <w:pPr>
        <w:pStyle w:val="ax"/>
        <w:spacing w:before="0" w:beforeAutospacing="0" w:after="0" w:afterAutospacing="0"/>
        <w:rPr>
          <w:rStyle w:val="ae"/>
          <w:rFonts w:ascii="Arial" w:hAnsi="Arial" w:cs="Arial"/>
          <w:b/>
          <w:bCs/>
          <w:color w:val="212721"/>
          <w:sz w:val="22"/>
          <w:szCs w:val="22"/>
        </w:rPr>
      </w:pPr>
    </w:p>
    <w:p w14:paraId="48B2377F" w14:textId="5FFE167B" w:rsidR="00B06429" w:rsidRDefault="00B06429" w:rsidP="00B06429">
      <w:pPr>
        <w:pStyle w:val="ax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ae"/>
          <w:rFonts w:ascii="Arial" w:hAnsi="Arial" w:cs="Arial"/>
          <w:b/>
          <w:bCs/>
          <w:color w:val="212721"/>
          <w:sz w:val="22"/>
          <w:szCs w:val="22"/>
        </w:rPr>
        <w:t xml:space="preserve">General Meeting </w:t>
      </w:r>
      <w:r w:rsidR="005E1521">
        <w:rPr>
          <w:rStyle w:val="ae"/>
          <w:rFonts w:ascii="Arial" w:hAnsi="Arial" w:cs="Arial"/>
          <w:b/>
          <w:bCs/>
          <w:color w:val="212721"/>
          <w:sz w:val="22"/>
          <w:szCs w:val="22"/>
        </w:rPr>
        <w:t>–</w:t>
      </w:r>
      <w:r>
        <w:rPr>
          <w:rStyle w:val="ae"/>
          <w:rFonts w:ascii="Arial" w:hAnsi="Arial" w:cs="Arial"/>
          <w:b/>
          <w:bCs/>
          <w:color w:val="212721"/>
          <w:sz w:val="22"/>
          <w:szCs w:val="22"/>
        </w:rPr>
        <w:t xml:space="preserve"> </w:t>
      </w:r>
      <w:r w:rsidR="005E1521">
        <w:rPr>
          <w:rStyle w:val="ae"/>
          <w:rFonts w:ascii="Arial" w:hAnsi="Arial" w:cs="Arial"/>
          <w:b/>
          <w:bCs/>
          <w:color w:val="212721"/>
          <w:sz w:val="22"/>
          <w:szCs w:val="22"/>
        </w:rPr>
        <w:t>12 October</w:t>
      </w:r>
      <w:r>
        <w:rPr>
          <w:rStyle w:val="ae"/>
          <w:rFonts w:ascii="Arial" w:hAnsi="Arial" w:cs="Arial"/>
          <w:b/>
          <w:bCs/>
          <w:color w:val="212721"/>
          <w:sz w:val="22"/>
          <w:szCs w:val="22"/>
        </w:rPr>
        <w:t xml:space="preserve"> 2022</w:t>
      </w:r>
    </w:p>
    <w:p w14:paraId="7807D914" w14:textId="77777777" w:rsidR="00B06429" w:rsidRDefault="00B06429" w:rsidP="00B06429">
      <w:pPr>
        <w:pStyle w:val="ay"/>
        <w:spacing w:before="0" w:beforeAutospacing="0" w:after="27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ad"/>
          <w:rFonts w:ascii="Arial" w:hAnsi="Arial" w:cs="Arial"/>
          <w:color w:val="212721"/>
          <w:sz w:val="22"/>
          <w:szCs w:val="22"/>
        </w:rPr>
        <w:t> </w:t>
      </w:r>
    </w:p>
    <w:p w14:paraId="3C5E1D00" w14:textId="5C267111" w:rsidR="00B06429" w:rsidRPr="00A52608" w:rsidRDefault="00B06429" w:rsidP="00B06429">
      <w:pPr>
        <w:pStyle w:val="az"/>
        <w:spacing w:before="0" w:beforeAutospacing="0" w:after="270" w:afterAutospacing="0"/>
        <w:jc w:val="both"/>
        <w:rPr>
          <w:rFonts w:ascii="Arial" w:hAnsi="Arial" w:cs="Arial"/>
          <w:color w:val="212721"/>
          <w:sz w:val="22"/>
          <w:szCs w:val="22"/>
        </w:rPr>
      </w:pPr>
      <w:r>
        <w:rPr>
          <w:rStyle w:val="ad"/>
          <w:rFonts w:ascii="Arial" w:hAnsi="Arial" w:cs="Arial"/>
          <w:color w:val="212721"/>
          <w:sz w:val="22"/>
          <w:szCs w:val="22"/>
        </w:rPr>
        <w:t xml:space="preserve">Mobeus Income &amp; Growth VCT plc ("the Company") is pleased to announce that </w:t>
      </w:r>
      <w:r w:rsidR="005E1521">
        <w:rPr>
          <w:rStyle w:val="ad"/>
          <w:rFonts w:ascii="Arial" w:hAnsi="Arial" w:cs="Arial"/>
          <w:color w:val="212721"/>
          <w:sz w:val="22"/>
          <w:szCs w:val="22"/>
        </w:rPr>
        <w:t xml:space="preserve">all of </w:t>
      </w:r>
      <w:r>
        <w:rPr>
          <w:rStyle w:val="ad"/>
          <w:rFonts w:ascii="Arial" w:hAnsi="Arial" w:cs="Arial"/>
          <w:color w:val="212721"/>
          <w:sz w:val="22"/>
          <w:szCs w:val="22"/>
        </w:rPr>
        <w:t>the resolution</w:t>
      </w:r>
      <w:r w:rsidR="005E1521">
        <w:rPr>
          <w:rStyle w:val="ad"/>
          <w:rFonts w:ascii="Arial" w:hAnsi="Arial" w:cs="Arial"/>
          <w:color w:val="212721"/>
          <w:sz w:val="22"/>
          <w:szCs w:val="22"/>
        </w:rPr>
        <w:t>s</w:t>
      </w:r>
      <w:r>
        <w:rPr>
          <w:rStyle w:val="ad"/>
          <w:rFonts w:ascii="Arial" w:hAnsi="Arial" w:cs="Arial"/>
          <w:color w:val="212721"/>
          <w:sz w:val="22"/>
          <w:szCs w:val="22"/>
        </w:rPr>
        <w:t xml:space="preserve"> proposed at the General Meeting of the Company held </w:t>
      </w:r>
      <w:r w:rsidR="00A52608">
        <w:rPr>
          <w:rStyle w:val="ad"/>
          <w:rFonts w:ascii="Arial" w:hAnsi="Arial" w:cs="Arial"/>
          <w:color w:val="212721"/>
          <w:sz w:val="22"/>
          <w:szCs w:val="22"/>
        </w:rPr>
        <w:t xml:space="preserve">on </w:t>
      </w:r>
      <w:r w:rsidR="005E1521">
        <w:rPr>
          <w:rStyle w:val="ad"/>
          <w:rFonts w:ascii="Arial" w:hAnsi="Arial" w:cs="Arial"/>
          <w:color w:val="212721"/>
          <w:sz w:val="22"/>
          <w:szCs w:val="22"/>
        </w:rPr>
        <w:t>12 October</w:t>
      </w:r>
      <w:r>
        <w:rPr>
          <w:rStyle w:val="ad"/>
          <w:rFonts w:ascii="Arial" w:hAnsi="Arial" w:cs="Arial"/>
          <w:color w:val="212721"/>
          <w:sz w:val="22"/>
          <w:szCs w:val="22"/>
        </w:rPr>
        <w:t xml:space="preserve"> 2022</w:t>
      </w:r>
      <w:r w:rsidR="00A52608">
        <w:rPr>
          <w:rStyle w:val="ad"/>
          <w:rFonts w:ascii="Arial" w:hAnsi="Arial" w:cs="Arial"/>
          <w:color w:val="212721"/>
          <w:sz w:val="22"/>
          <w:szCs w:val="22"/>
        </w:rPr>
        <w:t xml:space="preserve"> </w:t>
      </w:r>
      <w:r>
        <w:rPr>
          <w:rStyle w:val="ad"/>
          <w:rFonts w:ascii="Arial" w:hAnsi="Arial" w:cs="Arial"/>
          <w:color w:val="212721"/>
          <w:sz w:val="22"/>
          <w:szCs w:val="22"/>
        </w:rPr>
        <w:t>w</w:t>
      </w:r>
      <w:r w:rsidR="005E1521">
        <w:rPr>
          <w:rStyle w:val="ad"/>
          <w:rFonts w:ascii="Arial" w:hAnsi="Arial" w:cs="Arial"/>
          <w:color w:val="212721"/>
          <w:sz w:val="22"/>
          <w:szCs w:val="22"/>
        </w:rPr>
        <w:t xml:space="preserve">ere </w:t>
      </w:r>
      <w:r>
        <w:rPr>
          <w:rStyle w:val="ad"/>
          <w:rFonts w:ascii="Arial" w:hAnsi="Arial" w:cs="Arial"/>
          <w:color w:val="212721"/>
          <w:sz w:val="22"/>
          <w:szCs w:val="22"/>
        </w:rPr>
        <w:t>approved by shareholders.</w:t>
      </w:r>
    </w:p>
    <w:p w14:paraId="2AE709F1" w14:textId="6A3E4654" w:rsidR="00682A5E" w:rsidRPr="00682A5E" w:rsidRDefault="00682A5E" w:rsidP="00682A5E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en-GB"/>
        </w:rPr>
      </w:pPr>
      <w:bookmarkStart w:id="0" w:name="_Hlk116463331"/>
      <w:r w:rsidRPr="00682A5E">
        <w:rPr>
          <w:rFonts w:ascii="Arial" w:eastAsia="Times New Roman" w:hAnsi="Arial" w:cs="Arial"/>
          <w:lang w:eastAsia="en-GB"/>
        </w:rPr>
        <w:t xml:space="preserve">Proxy votes were received in respect of </w:t>
      </w:r>
      <w:r w:rsidR="00C132E4">
        <w:rPr>
          <w:rFonts w:ascii="Arial" w:eastAsia="Times New Roman" w:hAnsi="Arial" w:cs="Arial"/>
          <w:lang w:eastAsia="en-GB"/>
        </w:rPr>
        <w:t>5,098,798</w:t>
      </w:r>
      <w:r w:rsidR="00CE3661">
        <w:rPr>
          <w:rFonts w:ascii="Arial" w:eastAsia="Times New Roman" w:hAnsi="Arial" w:cs="Arial"/>
          <w:lang w:eastAsia="en-GB"/>
        </w:rPr>
        <w:t xml:space="preserve"> </w:t>
      </w:r>
      <w:r w:rsidRPr="00682A5E">
        <w:rPr>
          <w:rFonts w:ascii="Arial" w:eastAsia="Times New Roman" w:hAnsi="Arial" w:cs="Arial"/>
          <w:lang w:eastAsia="en-GB"/>
        </w:rPr>
        <w:t xml:space="preserve">Ordinary Shares, representing </w:t>
      </w:r>
      <w:r w:rsidR="00CE3661">
        <w:rPr>
          <w:rFonts w:ascii="Arial" w:eastAsia="Times New Roman" w:hAnsi="Arial" w:cs="Arial"/>
          <w:lang w:eastAsia="en-GB"/>
        </w:rPr>
        <w:t>3.7</w:t>
      </w:r>
      <w:r w:rsidRPr="00682A5E">
        <w:rPr>
          <w:rFonts w:ascii="Arial" w:eastAsia="Times New Roman" w:hAnsi="Arial" w:cs="Arial"/>
          <w:lang w:eastAsia="en-GB"/>
        </w:rPr>
        <w:t xml:space="preserve"> % </w:t>
      </w:r>
      <w:r w:rsidRPr="00682A5E">
        <w:rPr>
          <w:rFonts w:ascii="Arial" w:eastAsia="Times New Roman" w:hAnsi="Arial" w:cs="Arial"/>
          <w:color w:val="000000"/>
          <w:lang w:eastAsia="en-GB"/>
        </w:rPr>
        <w:t xml:space="preserve">of the issued share capital as at 11 October 2022. </w:t>
      </w:r>
    </w:p>
    <w:p w14:paraId="7C753006" w14:textId="77777777" w:rsidR="00682A5E" w:rsidRPr="00682A5E" w:rsidRDefault="00682A5E" w:rsidP="00682A5E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6C04F57" w14:textId="77777777" w:rsidR="00682A5E" w:rsidRPr="00682A5E" w:rsidRDefault="00682A5E" w:rsidP="00682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82A5E">
        <w:rPr>
          <w:rFonts w:ascii="Arial" w:eastAsia="Times New Roman" w:hAnsi="Arial" w:cs="Arial"/>
          <w:color w:val="000000"/>
          <w:lang w:eastAsia="en-GB"/>
        </w:rPr>
        <w:t>The following table shows the proxy votes cast for each resolution:</w:t>
      </w:r>
    </w:p>
    <w:p w14:paraId="0AB08B82" w14:textId="77777777" w:rsidR="00682A5E" w:rsidRDefault="00682A5E" w:rsidP="00682A5E">
      <w:pPr>
        <w:spacing w:after="0" w:line="300" w:lineRule="atLeast"/>
        <w:jc w:val="both"/>
        <w:rPr>
          <w:rFonts w:eastAsia="Times New Roman" w:cstheme="minorHAnsi"/>
          <w:color w:val="000000"/>
          <w:lang w:eastAsia="en-GB"/>
        </w:rPr>
      </w:pPr>
    </w:p>
    <w:tbl>
      <w:tblPr>
        <w:tblW w:w="917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70"/>
        <w:gridCol w:w="993"/>
        <w:gridCol w:w="1275"/>
        <w:gridCol w:w="993"/>
        <w:gridCol w:w="1275"/>
        <w:gridCol w:w="993"/>
        <w:gridCol w:w="1275"/>
      </w:tblGrid>
      <w:tr w:rsidR="00682A5E" w:rsidRPr="00682A5E" w14:paraId="0157BFC4" w14:textId="77777777" w:rsidTr="00AB557B">
        <w:trPr>
          <w:trHeight w:val="262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B7F8" w14:textId="77777777" w:rsidR="00682A5E" w:rsidRPr="00682A5E" w:rsidRDefault="00682A5E" w:rsidP="00AB55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Resolution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7259" w14:textId="77777777" w:rsidR="00682A5E" w:rsidRPr="00682A5E" w:rsidRDefault="00682A5E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For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7E38" w14:textId="77777777" w:rsidR="00682A5E" w:rsidRPr="00682A5E" w:rsidRDefault="00682A5E" w:rsidP="00AB557B">
            <w:pPr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2BE5" w14:textId="77777777" w:rsidR="00682A5E" w:rsidRPr="00682A5E" w:rsidRDefault="00682A5E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Discretion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CC47" w14:textId="77777777" w:rsidR="00682A5E" w:rsidRPr="00682A5E" w:rsidRDefault="00682A5E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A2B4" w14:textId="77777777" w:rsidR="00682A5E" w:rsidRPr="00682A5E" w:rsidRDefault="00682A5E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Against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7DE0" w14:textId="77777777" w:rsidR="00682A5E" w:rsidRPr="00682A5E" w:rsidRDefault="00682A5E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D3D7" w14:textId="77777777" w:rsidR="00682A5E" w:rsidRPr="00682A5E" w:rsidRDefault="00682A5E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Withheld</w:t>
            </w:r>
          </w:p>
        </w:tc>
      </w:tr>
      <w:tr w:rsidR="00682A5E" w:rsidRPr="00682A5E" w14:paraId="1EE3C887" w14:textId="77777777" w:rsidTr="00AB557B">
        <w:trPr>
          <w:trHeight w:val="27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81D2" w14:textId="77777777" w:rsidR="00682A5E" w:rsidRPr="00682A5E" w:rsidRDefault="00682A5E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1190" w:type="dxa"/>
              <w:tblLayout w:type="fixed"/>
              <w:tblLook w:val="04A0" w:firstRow="1" w:lastRow="0" w:firstColumn="1" w:lastColumn="0" w:noHBand="0" w:noVBand="1"/>
            </w:tblPr>
            <w:tblGrid>
              <w:gridCol w:w="1190"/>
            </w:tblGrid>
            <w:tr w:rsidR="00682A5E" w:rsidRPr="00682A5E" w14:paraId="58F77647" w14:textId="77777777" w:rsidTr="00AB557B">
              <w:trPr>
                <w:trHeight w:val="280"/>
              </w:trPr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510F0" w14:textId="0F627C58" w:rsidR="00682A5E" w:rsidRPr="00682A5E" w:rsidRDefault="00CE3661" w:rsidP="00AB557B">
                  <w:pPr>
                    <w:spacing w:after="0" w:line="240" w:lineRule="auto"/>
                    <w:ind w:left="-196" w:right="30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CE3661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4,544,896</w:t>
                  </w:r>
                </w:p>
              </w:tc>
            </w:tr>
          </w:tbl>
          <w:p w14:paraId="288174FF" w14:textId="77777777" w:rsidR="00682A5E" w:rsidRPr="00682A5E" w:rsidRDefault="00682A5E" w:rsidP="00AB557B">
            <w:pPr>
              <w:spacing w:after="0" w:line="240" w:lineRule="auto"/>
              <w:ind w:right="-104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624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  <w:gridCol w:w="2080"/>
            </w:tblGrid>
            <w:tr w:rsidR="00682A5E" w:rsidRPr="00682A5E" w14:paraId="3514EA43" w14:textId="77777777" w:rsidTr="00AB557B">
              <w:trPr>
                <w:trHeight w:val="28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22BB6" w14:textId="66E14394" w:rsidR="00682A5E" w:rsidRPr="00682A5E" w:rsidRDefault="00CE3661" w:rsidP="00AB557B">
                  <w:pPr>
                    <w:spacing w:after="0" w:line="240" w:lineRule="auto"/>
                    <w:ind w:right="958" w:hanging="232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89.14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3AD1F" w14:textId="77777777" w:rsidR="00682A5E" w:rsidRPr="00682A5E" w:rsidRDefault="00682A5E" w:rsidP="00AB557B">
                  <w:pPr>
                    <w:spacing w:after="0" w:line="240" w:lineRule="auto"/>
                    <w:ind w:right="314" w:firstLine="35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56D75" w14:textId="77777777" w:rsidR="00682A5E" w:rsidRPr="00682A5E" w:rsidRDefault="00682A5E" w:rsidP="00AB557B">
                  <w:pPr>
                    <w:spacing w:after="0" w:line="240" w:lineRule="auto"/>
                    <w:ind w:right="314" w:firstLine="35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7E6BCE20" w14:textId="77777777" w:rsidR="00682A5E" w:rsidRPr="00682A5E" w:rsidRDefault="00682A5E" w:rsidP="00AB557B">
            <w:pPr>
              <w:spacing w:after="0" w:line="240" w:lineRule="auto"/>
              <w:ind w:right="314" w:firstLine="35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F8DE6" w14:textId="750ACC44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3661">
              <w:rPr>
                <w:rFonts w:ascii="Arial" w:hAnsi="Arial" w:cs="Arial"/>
                <w:color w:val="000000"/>
              </w:rPr>
              <w:t>254,480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3762A" w14:textId="3FFB4959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4.9</w:t>
            </w:r>
            <w:r w:rsidR="00682A5E" w:rsidRPr="00682A5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8F948" w14:textId="27A01ED4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3661">
              <w:rPr>
                <w:rFonts w:ascii="Arial" w:hAnsi="Arial" w:cs="Arial"/>
                <w:color w:val="000000"/>
              </w:rPr>
              <w:t>299,422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018B3" w14:textId="569DBC06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5.87</w:t>
            </w:r>
            <w:r w:rsidR="00682A5E" w:rsidRPr="00682A5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040D4" w14:textId="1BBA7973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3661">
              <w:rPr>
                <w:rFonts w:ascii="Arial" w:hAnsi="Arial" w:cs="Arial"/>
                <w:color w:val="000000"/>
              </w:rPr>
              <w:t>31,059</w:t>
            </w:r>
          </w:p>
        </w:tc>
      </w:tr>
      <w:tr w:rsidR="00682A5E" w:rsidRPr="00682A5E" w14:paraId="07D87AC7" w14:textId="77777777" w:rsidTr="00AB557B">
        <w:trPr>
          <w:trHeight w:val="26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AFC6" w14:textId="77777777" w:rsidR="00682A5E" w:rsidRPr="00682A5E" w:rsidRDefault="00682A5E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3FDE9" w14:textId="64BDE783" w:rsidR="00682A5E" w:rsidRPr="00682A5E" w:rsidRDefault="00CE3661" w:rsidP="00AB557B">
            <w:pPr>
              <w:spacing w:after="0" w:line="240" w:lineRule="auto"/>
              <w:ind w:right="-104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3661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CE3661">
              <w:rPr>
                <w:rFonts w:ascii="Arial" w:hAnsi="Arial" w:cs="Arial"/>
                <w:color w:val="000000"/>
              </w:rPr>
              <w:t>678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CE3661">
              <w:rPr>
                <w:rFonts w:ascii="Arial" w:hAnsi="Arial" w:cs="Arial"/>
                <w:color w:val="000000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08D9B" w14:textId="4BE51BD5" w:rsidR="00682A5E" w:rsidRPr="00682A5E" w:rsidRDefault="00CE3661" w:rsidP="00AB557B">
            <w:pPr>
              <w:spacing w:after="0" w:line="240" w:lineRule="auto"/>
              <w:ind w:right="-106" w:firstLine="30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92.36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526C0" w14:textId="5234A52A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3661">
              <w:rPr>
                <w:rFonts w:ascii="Arial" w:hAnsi="Arial" w:cs="Arial"/>
                <w:color w:val="000000"/>
              </w:rPr>
              <w:t>254,480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C5A42" w14:textId="1C3BA87A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EF6CE4" w14:textId="113A593D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3661">
              <w:rPr>
                <w:rFonts w:ascii="Arial" w:hAnsi="Arial" w:cs="Arial"/>
                <w:color w:val="000000"/>
              </w:rPr>
              <w:t>132,677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15BA4" w14:textId="2113C8DB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2.62</w:t>
            </w:r>
            <w:r w:rsidR="00682A5E" w:rsidRPr="00682A5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5833C" w14:textId="405614E9" w:rsidR="00682A5E" w:rsidRPr="00682A5E" w:rsidRDefault="00CE3661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E3661">
              <w:rPr>
                <w:rFonts w:ascii="Arial" w:hAnsi="Arial" w:cs="Arial"/>
                <w:color w:val="000000"/>
              </w:rPr>
              <w:t>64,039</w:t>
            </w:r>
          </w:p>
        </w:tc>
      </w:tr>
    </w:tbl>
    <w:p w14:paraId="16EADFF0" w14:textId="77777777" w:rsidR="00682A5E" w:rsidRPr="00D63413" w:rsidRDefault="00682A5E" w:rsidP="00682A5E">
      <w:pPr>
        <w:spacing w:after="0" w:line="300" w:lineRule="atLeast"/>
        <w:jc w:val="both"/>
        <w:rPr>
          <w:rFonts w:eastAsia="Times New Roman" w:cstheme="minorHAnsi"/>
          <w:color w:val="000000"/>
          <w:lang w:eastAsia="en-GB"/>
        </w:rPr>
      </w:pPr>
    </w:p>
    <w:bookmarkEnd w:id="0"/>
    <w:p w14:paraId="58C96164" w14:textId="416D0F61" w:rsidR="00B06429" w:rsidRDefault="00B06429" w:rsidP="00B06429">
      <w:pPr>
        <w:pStyle w:val="ba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AA29B9" w14:textId="77777777" w:rsidR="00B06429" w:rsidRDefault="00B06429" w:rsidP="00B06429">
      <w:pPr>
        <w:pStyle w:val="b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bc"/>
          <w:rFonts w:ascii="Arial" w:hAnsi="Arial" w:cs="Arial"/>
          <w:color w:val="000000"/>
          <w:sz w:val="22"/>
          <w:szCs w:val="22"/>
        </w:rPr>
        <w:t>For further information, please contact:</w:t>
      </w:r>
    </w:p>
    <w:p w14:paraId="5B0F6ED4" w14:textId="77777777" w:rsidR="00B06429" w:rsidRDefault="00B06429" w:rsidP="00B06429">
      <w:pPr>
        <w:pStyle w:val="bb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bc"/>
          <w:rFonts w:ascii="Arial" w:hAnsi="Arial" w:cs="Arial"/>
          <w:color w:val="000000"/>
          <w:sz w:val="22"/>
          <w:szCs w:val="22"/>
        </w:rPr>
        <w:t> </w:t>
      </w:r>
    </w:p>
    <w:p w14:paraId="7A1BA5EF" w14:textId="77777777" w:rsidR="00B06429" w:rsidRDefault="00B06429" w:rsidP="00B06429">
      <w:pPr>
        <w:pStyle w:val="bd"/>
        <w:spacing w:before="0" w:beforeAutospacing="0" w:after="0" w:afterAutospacing="0"/>
        <w:jc w:val="both"/>
        <w:rPr>
          <w:color w:val="000000"/>
        </w:rPr>
      </w:pPr>
      <w:r>
        <w:rPr>
          <w:rStyle w:val="be"/>
          <w:rFonts w:ascii="Arial" w:hAnsi="Arial" w:cs="Arial"/>
          <w:color w:val="000000"/>
          <w:sz w:val="22"/>
          <w:szCs w:val="22"/>
        </w:rPr>
        <w:t>Gresham House Asset Management Limited</w:t>
      </w:r>
    </w:p>
    <w:p w14:paraId="11B9C9BF" w14:textId="77777777" w:rsidR="00B06429" w:rsidRDefault="00B06429" w:rsidP="00B06429">
      <w:pPr>
        <w:pStyle w:val="bd"/>
        <w:spacing w:before="0" w:beforeAutospacing="0" w:after="0" w:afterAutospacing="0"/>
        <w:jc w:val="both"/>
        <w:rPr>
          <w:color w:val="000000"/>
        </w:rPr>
      </w:pPr>
      <w:r>
        <w:rPr>
          <w:rStyle w:val="be"/>
          <w:rFonts w:ascii="Arial" w:hAnsi="Arial" w:cs="Arial"/>
          <w:color w:val="000000"/>
          <w:sz w:val="22"/>
          <w:szCs w:val="22"/>
        </w:rPr>
        <w:t>Company Secretary</w:t>
      </w:r>
    </w:p>
    <w:p w14:paraId="1F7D6B0C" w14:textId="77777777" w:rsidR="00B06429" w:rsidRDefault="00B06429" w:rsidP="00B06429">
      <w:pPr>
        <w:pStyle w:val="bd"/>
        <w:spacing w:before="0" w:beforeAutospacing="0" w:after="0" w:afterAutospacing="0"/>
        <w:jc w:val="both"/>
        <w:rPr>
          <w:color w:val="000000"/>
        </w:rPr>
      </w:pPr>
      <w:r>
        <w:rPr>
          <w:rStyle w:val="be"/>
          <w:rFonts w:ascii="Arial" w:hAnsi="Arial" w:cs="Arial"/>
          <w:color w:val="000000"/>
          <w:sz w:val="22"/>
          <w:szCs w:val="22"/>
        </w:rPr>
        <w:t> </w:t>
      </w:r>
    </w:p>
    <w:p w14:paraId="298069DA" w14:textId="77777777" w:rsidR="00B06429" w:rsidRDefault="00B06429" w:rsidP="00B06429">
      <w:pPr>
        <w:pStyle w:val="bd"/>
        <w:spacing w:before="0" w:beforeAutospacing="0" w:after="0" w:afterAutospacing="0"/>
        <w:jc w:val="both"/>
        <w:rPr>
          <w:color w:val="000000"/>
        </w:rPr>
      </w:pPr>
      <w:r>
        <w:rPr>
          <w:rStyle w:val="be"/>
          <w:rFonts w:ascii="Arial" w:hAnsi="Arial" w:cs="Arial"/>
          <w:color w:val="000000"/>
          <w:sz w:val="22"/>
          <w:szCs w:val="22"/>
        </w:rPr>
        <w:t>Tel: </w:t>
      </w:r>
      <w:r>
        <w:rPr>
          <w:rStyle w:val="bf"/>
          <w:rFonts w:ascii="Arial" w:hAnsi="Arial" w:cs="Arial"/>
          <w:color w:val="16202C"/>
          <w:sz w:val="22"/>
          <w:szCs w:val="22"/>
        </w:rPr>
        <w:t>020 7382 0999</w:t>
      </w:r>
    </w:p>
    <w:p w14:paraId="3E699667" w14:textId="77777777" w:rsidR="00B06429" w:rsidRDefault="00B06429" w:rsidP="00B06429">
      <w:pPr>
        <w:pStyle w:val="a"/>
        <w:spacing w:before="0" w:beforeAutospacing="0" w:after="16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3C23D94" w14:textId="77777777" w:rsidR="00F558D5" w:rsidRPr="00B06429" w:rsidRDefault="00F558D5" w:rsidP="00B06429"/>
    <w:sectPr w:rsidR="00F558D5" w:rsidRPr="00B06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29"/>
    <w:rsid w:val="000B1800"/>
    <w:rsid w:val="001C2B60"/>
    <w:rsid w:val="00307A38"/>
    <w:rsid w:val="00384076"/>
    <w:rsid w:val="005B3B2E"/>
    <w:rsid w:val="005E1521"/>
    <w:rsid w:val="00682A5E"/>
    <w:rsid w:val="008702AD"/>
    <w:rsid w:val="00A52608"/>
    <w:rsid w:val="00B06429"/>
    <w:rsid w:val="00B7226E"/>
    <w:rsid w:val="00C132E4"/>
    <w:rsid w:val="00CE3661"/>
    <w:rsid w:val="00F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4603"/>
  <w15:chartTrackingRefBased/>
  <w15:docId w15:val="{0D54B2D6-3AEE-42FA-AA70-CF875A8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">
    <w:name w:val="ao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q">
    <w:name w:val="aq"/>
    <w:basedOn w:val="DefaultParagraphFont"/>
    <w:rsid w:val="00B06429"/>
  </w:style>
  <w:style w:type="paragraph" w:customStyle="1" w:styleId="ar">
    <w:name w:val="ar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s">
    <w:name w:val="as"/>
    <w:basedOn w:val="DefaultParagraphFont"/>
    <w:rsid w:val="00B06429"/>
  </w:style>
  <w:style w:type="paragraph" w:customStyle="1" w:styleId="at">
    <w:name w:val="at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">
    <w:name w:val="au"/>
    <w:basedOn w:val="DefaultParagraphFont"/>
    <w:rsid w:val="00B06429"/>
  </w:style>
  <w:style w:type="character" w:customStyle="1" w:styleId="av">
    <w:name w:val="av"/>
    <w:basedOn w:val="DefaultParagraphFont"/>
    <w:rsid w:val="00B06429"/>
  </w:style>
  <w:style w:type="paragraph" w:customStyle="1" w:styleId="aw">
    <w:name w:val="aw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g">
    <w:name w:val="ag"/>
    <w:basedOn w:val="DefaultParagraphFont"/>
    <w:rsid w:val="00B06429"/>
  </w:style>
  <w:style w:type="paragraph" w:customStyle="1" w:styleId="ax">
    <w:name w:val="ax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e">
    <w:name w:val="ae"/>
    <w:basedOn w:val="DefaultParagraphFont"/>
    <w:rsid w:val="00B06429"/>
  </w:style>
  <w:style w:type="paragraph" w:customStyle="1" w:styleId="ay">
    <w:name w:val="ay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">
    <w:name w:val="ad"/>
    <w:basedOn w:val="DefaultParagraphFont"/>
    <w:rsid w:val="00B06429"/>
  </w:style>
  <w:style w:type="paragraph" w:customStyle="1" w:styleId="az">
    <w:name w:val="az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">
    <w:name w:val="ba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b">
    <w:name w:val="bb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c">
    <w:name w:val="bc"/>
    <w:basedOn w:val="DefaultParagraphFont"/>
    <w:rsid w:val="00B06429"/>
  </w:style>
  <w:style w:type="paragraph" w:customStyle="1" w:styleId="bd">
    <w:name w:val="bd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">
    <w:name w:val="be"/>
    <w:basedOn w:val="DefaultParagraphFont"/>
    <w:rsid w:val="00B06429"/>
  </w:style>
  <w:style w:type="character" w:customStyle="1" w:styleId="bf">
    <w:name w:val="bf"/>
    <w:basedOn w:val="DefaultParagraphFont"/>
    <w:rsid w:val="00B06429"/>
  </w:style>
  <w:style w:type="paragraph" w:customStyle="1" w:styleId="a">
    <w:name w:val="a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Fan</dc:creator>
  <cp:keywords/>
  <dc:description/>
  <cp:lastModifiedBy>Juanita Fan</cp:lastModifiedBy>
  <cp:revision>3</cp:revision>
  <cp:lastPrinted>2022-10-12T14:00:00Z</cp:lastPrinted>
  <dcterms:created xsi:type="dcterms:W3CDTF">2022-10-13T08:21:00Z</dcterms:created>
  <dcterms:modified xsi:type="dcterms:W3CDTF">2022-10-13T08:22:00Z</dcterms:modified>
</cp:coreProperties>
</file>