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85" w:rsidRPr="000F1B4F" w:rsidRDefault="00E52827">
      <w:pPr>
        <w:pStyle w:val="Title"/>
        <w:spacing w:line="280" w:lineRule="exact"/>
        <w:rPr>
          <w:rFonts w:ascii="Myriad Pro" w:hAnsi="Myriad Pro" w:cs="Arial"/>
          <w:sz w:val="24"/>
          <w:szCs w:val="24"/>
        </w:rPr>
      </w:pPr>
      <w:bookmarkStart w:id="0" w:name="_GoBack"/>
      <w:bookmarkEnd w:id="0"/>
      <w:r w:rsidRPr="000F1B4F">
        <w:rPr>
          <w:rFonts w:ascii="Myriad Pro" w:hAnsi="Myriad Pro" w:cs="Arial"/>
          <w:sz w:val="24"/>
          <w:szCs w:val="24"/>
        </w:rPr>
        <w:t xml:space="preserve">MOBEUS </w:t>
      </w:r>
      <w:r w:rsidR="00681985" w:rsidRPr="000F1B4F">
        <w:rPr>
          <w:rFonts w:ascii="Myriad Pro" w:hAnsi="Myriad Pro" w:cs="Arial"/>
          <w:sz w:val="24"/>
          <w:szCs w:val="24"/>
        </w:rPr>
        <w:t>INCOME &amp; GROWTH 2 VCT PLC</w:t>
      </w:r>
    </w:p>
    <w:p w:rsidR="00681985" w:rsidRPr="000F1B4F" w:rsidRDefault="00681985">
      <w:pPr>
        <w:spacing w:line="280" w:lineRule="exact"/>
        <w:jc w:val="center"/>
        <w:rPr>
          <w:rFonts w:ascii="Myriad Pro" w:hAnsi="Myriad Pro" w:cs="Arial"/>
          <w:b/>
          <w:sz w:val="22"/>
        </w:rPr>
      </w:pPr>
    </w:p>
    <w:p w:rsidR="00681985" w:rsidRPr="000F1B4F" w:rsidRDefault="00681985">
      <w:pPr>
        <w:pStyle w:val="Subtitle"/>
        <w:rPr>
          <w:rFonts w:ascii="Myriad Pro" w:hAnsi="Myriad Pro"/>
        </w:rPr>
      </w:pPr>
      <w:r w:rsidRPr="000F1B4F">
        <w:rPr>
          <w:rFonts w:ascii="Myriad Pro" w:hAnsi="Myriad Pro"/>
        </w:rPr>
        <w:t>MATTERS RESERVED FOR THE APPROVAL OF THE BOARD</w:t>
      </w: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sz w:val="22"/>
        </w:rPr>
      </w:pP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The agenda for each routine meeting of the Board of Directors shall include the under-noted items of business:</w:t>
      </w:r>
    </w:p>
    <w:p w:rsidR="00681985" w:rsidRPr="000F1B4F" w:rsidRDefault="00681985">
      <w:pPr>
        <w:spacing w:line="280" w:lineRule="exact"/>
        <w:ind w:left="360"/>
        <w:jc w:val="both"/>
        <w:rPr>
          <w:rFonts w:ascii="Myriad Pro" w:hAnsi="Myriad Pro" w:cs="Arial"/>
          <w:sz w:val="22"/>
        </w:rPr>
      </w:pPr>
    </w:p>
    <w:p w:rsidR="00681985" w:rsidRPr="000F1B4F" w:rsidRDefault="00681985" w:rsidP="00C21018">
      <w:pPr>
        <w:numPr>
          <w:ilvl w:val="0"/>
          <w:numId w:val="10"/>
        </w:num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A report from the Audit Committee (if it has met in the period since the immediately preceding meeting of the Board);</w:t>
      </w: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(c)</w:t>
      </w:r>
      <w:r w:rsidRPr="000F1B4F">
        <w:rPr>
          <w:rFonts w:ascii="Myriad Pro" w:hAnsi="Myriad Pro" w:cs="Arial"/>
          <w:sz w:val="22"/>
        </w:rPr>
        <w:tab/>
        <w:t xml:space="preserve">A written report from </w:t>
      </w:r>
      <w:proofErr w:type="spellStart"/>
      <w:r w:rsidR="00E52827" w:rsidRPr="000F1B4F">
        <w:rPr>
          <w:rFonts w:ascii="Myriad Pro" w:hAnsi="Myriad Pro" w:cs="Arial"/>
          <w:sz w:val="22"/>
        </w:rPr>
        <w:t>Mobeus</w:t>
      </w:r>
      <w:proofErr w:type="spellEnd"/>
      <w:r w:rsidR="00E52827" w:rsidRPr="000F1B4F">
        <w:rPr>
          <w:rFonts w:ascii="Myriad Pro" w:hAnsi="Myriad Pro" w:cs="Arial"/>
          <w:sz w:val="22"/>
        </w:rPr>
        <w:t xml:space="preserve"> </w:t>
      </w:r>
      <w:r w:rsidRPr="000F1B4F">
        <w:rPr>
          <w:rFonts w:ascii="Myriad Pro" w:hAnsi="Myriad Pro" w:cs="Arial"/>
          <w:sz w:val="22"/>
        </w:rPr>
        <w:t xml:space="preserve">Equity </w:t>
      </w:r>
      <w:r w:rsidR="00C21018" w:rsidRPr="000F1B4F">
        <w:rPr>
          <w:rFonts w:ascii="Myriad Pro" w:hAnsi="Myriad Pro" w:cs="Arial"/>
          <w:sz w:val="22"/>
        </w:rPr>
        <w:t xml:space="preserve">Partners </w:t>
      </w:r>
      <w:r w:rsidRPr="000F1B4F">
        <w:rPr>
          <w:rFonts w:ascii="Myriad Pro" w:hAnsi="Myriad Pro" w:cs="Arial"/>
          <w:sz w:val="22"/>
        </w:rPr>
        <w:t>L</w:t>
      </w:r>
      <w:r w:rsidR="00AE5B3F" w:rsidRPr="000F1B4F">
        <w:rPr>
          <w:rFonts w:ascii="Myriad Pro" w:hAnsi="Myriad Pro" w:cs="Arial"/>
          <w:sz w:val="22"/>
        </w:rPr>
        <w:t>LP</w:t>
      </w:r>
      <w:r w:rsidRPr="000F1B4F">
        <w:rPr>
          <w:rFonts w:ascii="Myriad Pro" w:hAnsi="Myriad Pro" w:cs="Arial"/>
          <w:sz w:val="22"/>
        </w:rPr>
        <w:t>;</w:t>
      </w: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(d)</w:t>
      </w:r>
      <w:r w:rsidRPr="000F1B4F">
        <w:rPr>
          <w:rFonts w:ascii="Myriad Pro" w:hAnsi="Myriad Pro" w:cs="Arial"/>
          <w:sz w:val="22"/>
        </w:rPr>
        <w:tab/>
        <w:t xml:space="preserve">A report from </w:t>
      </w:r>
      <w:proofErr w:type="spellStart"/>
      <w:r w:rsidR="00CB1CB4">
        <w:rPr>
          <w:rFonts w:ascii="Myriad Pro" w:hAnsi="Myriad Pro" w:cs="Arial"/>
          <w:sz w:val="22"/>
        </w:rPr>
        <w:t>Mobeus</w:t>
      </w:r>
      <w:proofErr w:type="spellEnd"/>
      <w:r w:rsidR="00CB1CB4">
        <w:rPr>
          <w:rFonts w:ascii="Myriad Pro" w:hAnsi="Myriad Pro" w:cs="Arial"/>
          <w:sz w:val="22"/>
        </w:rPr>
        <w:t xml:space="preserve"> </w:t>
      </w:r>
      <w:r w:rsidR="00F043CA" w:rsidRPr="000F1B4F">
        <w:rPr>
          <w:rFonts w:ascii="Myriad Pro" w:hAnsi="Myriad Pro" w:cs="Arial"/>
          <w:sz w:val="22"/>
        </w:rPr>
        <w:t>Equity Partners LLP</w:t>
      </w:r>
      <w:r w:rsidR="00F043CA" w:rsidRPr="000F1B4F" w:rsidDel="00F043CA">
        <w:rPr>
          <w:rFonts w:ascii="Myriad Pro" w:hAnsi="Myriad Pro" w:cs="Arial"/>
          <w:sz w:val="22"/>
        </w:rPr>
        <w:t xml:space="preserve"> </w:t>
      </w:r>
      <w:r w:rsidRPr="000F1B4F">
        <w:rPr>
          <w:rFonts w:ascii="Myriad Pro" w:hAnsi="Myriad Pro" w:cs="Arial"/>
          <w:sz w:val="22"/>
        </w:rPr>
        <w:t>to include quarterly management accounts, interim accounts and annual accounts as appropriate;</w:t>
      </w: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(e)</w:t>
      </w:r>
      <w:r w:rsidRPr="000F1B4F">
        <w:rPr>
          <w:rFonts w:ascii="Myriad Pro" w:hAnsi="Myriad Pro" w:cs="Arial"/>
          <w:sz w:val="22"/>
        </w:rPr>
        <w:tab/>
        <w:t>A review of the Company’s compliance with the VCT criteria.</w:t>
      </w:r>
    </w:p>
    <w:p w:rsidR="00681985" w:rsidRPr="000F1B4F" w:rsidRDefault="00681985">
      <w:pPr>
        <w:spacing w:line="280" w:lineRule="exact"/>
        <w:ind w:left="720"/>
        <w:jc w:val="both"/>
        <w:rPr>
          <w:rFonts w:ascii="Myriad Pro" w:hAnsi="Myriad Pro" w:cs="Arial"/>
          <w:sz w:val="22"/>
        </w:rPr>
      </w:pP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b/>
          <w:sz w:val="22"/>
        </w:rPr>
      </w:pPr>
      <w:r w:rsidRPr="000F1B4F">
        <w:rPr>
          <w:rFonts w:ascii="Myriad Pro" w:hAnsi="Myriad Pro" w:cs="Arial"/>
          <w:b/>
          <w:sz w:val="22"/>
        </w:rPr>
        <w:t>Schedule of matters reserved for the approval of the Board</w:t>
      </w: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b/>
          <w:sz w:val="22"/>
        </w:rPr>
      </w:pP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Investments</w:t>
      </w: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</w:p>
    <w:p w:rsidR="00681985" w:rsidRPr="000F1B4F" w:rsidRDefault="00681985" w:rsidP="00681985">
      <w:pPr>
        <w:pStyle w:val="BodyText"/>
        <w:numPr>
          <w:ilvl w:val="0"/>
          <w:numId w:val="15"/>
        </w:numPr>
        <w:spacing w:line="280" w:lineRule="exact"/>
        <w:ind w:hanging="720"/>
        <w:jc w:val="both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Approval of venture capital investment opportunities of which it is ap</w:t>
      </w:r>
      <w:r w:rsidR="004A3EBA">
        <w:rPr>
          <w:rFonts w:ascii="Myriad Pro" w:hAnsi="Myriad Pro" w:cs="Arial"/>
        </w:rPr>
        <w:t>praised by the Investment Advis</w:t>
      </w:r>
      <w:r w:rsidRPr="000F1B4F">
        <w:rPr>
          <w:rFonts w:ascii="Myriad Pro" w:hAnsi="Myriad Pro" w:cs="Arial"/>
        </w:rPr>
        <w:t>er ensuring that each investment falls within the investment policy described in the prospectus</w:t>
      </w:r>
      <w:r w:rsidR="00C21018" w:rsidRPr="000F1B4F">
        <w:rPr>
          <w:rFonts w:ascii="Myriad Pro" w:hAnsi="Myriad Pro" w:cs="Arial"/>
        </w:rPr>
        <w:t>.</w:t>
      </w:r>
    </w:p>
    <w:p w:rsidR="00C21018" w:rsidRPr="000F1B4F" w:rsidRDefault="00681985" w:rsidP="00C21018">
      <w:pPr>
        <w:pStyle w:val="BodyText"/>
        <w:numPr>
          <w:ilvl w:val="0"/>
          <w:numId w:val="15"/>
        </w:numPr>
        <w:spacing w:line="280" w:lineRule="exact"/>
        <w:ind w:hanging="720"/>
        <w:jc w:val="both"/>
        <w:rPr>
          <w:rFonts w:ascii="Myriad Pro" w:hAnsi="Myriad Pro" w:cs="Arial"/>
          <w:szCs w:val="22"/>
        </w:rPr>
      </w:pPr>
      <w:r w:rsidRPr="000F1B4F">
        <w:rPr>
          <w:rFonts w:ascii="Myriad Pro" w:hAnsi="Myriad Pro" w:cs="Arial"/>
        </w:rPr>
        <w:t>Ongoing monitoring of investee companies and the Company’s investments therein and the extent to which each of the investee companies are regarded as qualifying holdings.</w:t>
      </w:r>
    </w:p>
    <w:p w:rsidR="00C21018" w:rsidRPr="000F1B4F" w:rsidRDefault="00C21018" w:rsidP="00C21018">
      <w:pPr>
        <w:pStyle w:val="BodyText"/>
        <w:numPr>
          <w:ilvl w:val="0"/>
          <w:numId w:val="15"/>
        </w:numPr>
        <w:spacing w:line="280" w:lineRule="exact"/>
        <w:ind w:hanging="720"/>
        <w:jc w:val="both"/>
        <w:rPr>
          <w:rFonts w:ascii="Myriad Pro" w:hAnsi="Myriad Pro" w:cs="Arial"/>
          <w:szCs w:val="22"/>
        </w:rPr>
      </w:pPr>
      <w:r w:rsidRPr="000F1B4F">
        <w:rPr>
          <w:rFonts w:ascii="Myriad Pro" w:hAnsi="Myriad Pro" w:cs="Arial"/>
          <w:szCs w:val="22"/>
        </w:rPr>
        <w:t>After reviewing the advice of advisers, to determine the valuation of each investment in accordance with the agreed valuation guidelines.</w:t>
      </w: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VCT Status</w:t>
      </w:r>
    </w:p>
    <w:p w:rsidR="00681985" w:rsidRPr="000F1B4F" w:rsidRDefault="00681985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</w:p>
    <w:p w:rsidR="00681985" w:rsidRPr="000F1B4F" w:rsidRDefault="00681985" w:rsidP="00681985">
      <w:pPr>
        <w:numPr>
          <w:ilvl w:val="0"/>
          <w:numId w:val="15"/>
        </w:numPr>
        <w:spacing w:line="280" w:lineRule="exact"/>
        <w:ind w:hanging="720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 xml:space="preserve">Receive quarterly reports from </w:t>
      </w:r>
      <w:r w:rsidR="00CB1CB4">
        <w:rPr>
          <w:rFonts w:ascii="Myriad Pro" w:hAnsi="Myriad Pro" w:cs="Arial"/>
          <w:sz w:val="22"/>
        </w:rPr>
        <w:t>Philip Hare &amp; Associates</w:t>
      </w:r>
      <w:r w:rsidR="00C21018" w:rsidRPr="000F1B4F">
        <w:rPr>
          <w:rFonts w:ascii="Myriad Pro" w:hAnsi="Myriad Pro" w:cs="Arial"/>
          <w:sz w:val="22"/>
        </w:rPr>
        <w:t xml:space="preserve"> LLP</w:t>
      </w:r>
      <w:r w:rsidRPr="000F1B4F">
        <w:rPr>
          <w:rFonts w:ascii="Myriad Pro" w:hAnsi="Myriad Pro" w:cs="Arial"/>
          <w:sz w:val="22"/>
        </w:rPr>
        <w:t xml:space="preserve"> each of which will include sufficient information to enable the Directors to monitor the Company’s position in respect of VCT status.  </w:t>
      </w: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sz w:val="22"/>
        </w:rPr>
      </w:pP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Companies Act requirements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Approval of interim and final financial statements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Approval of interim dividend and recommendation of the final dividend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Approval of any significant change in accounting policies or practices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Appointment or removal of company secretary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Remuneration of auditors and recommendations for appointment or removal of auditors on the recommendation of the Remuneration Committee</w:t>
      </w:r>
    </w:p>
    <w:p w:rsidR="00B458AC" w:rsidRPr="000F1B4F" w:rsidRDefault="00B458AC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Authorisation of conflicts of interest notified to the Board in accordance with s175 of the Companies Act 2006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Stock Exchange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 xml:space="preserve">Approval of all circulars to shareholders and listing 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Approval of press releases concerning matters decided by the Board</w:t>
      </w:r>
    </w:p>
    <w:p w:rsidR="00C21018" w:rsidRPr="000F1B4F" w:rsidRDefault="00C21018">
      <w:pPr>
        <w:pStyle w:val="BodyText"/>
        <w:jc w:val="left"/>
        <w:rPr>
          <w:rFonts w:ascii="Myriad Pro" w:hAnsi="Myriad Pro" w:cs="Arial"/>
        </w:rPr>
      </w:pPr>
    </w:p>
    <w:p w:rsidR="00F043CA" w:rsidRPr="000F1B4F" w:rsidRDefault="00F043CA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lastRenderedPageBreak/>
        <w:t>Management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94789F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Changes relating to the group’s capital structure or its status as plc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Remuneration and appointment of Directors</w:t>
      </w: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sz w:val="22"/>
        </w:rPr>
      </w:pPr>
    </w:p>
    <w:p w:rsidR="00681985" w:rsidRPr="000F1B4F" w:rsidRDefault="00681985" w:rsidP="00681985">
      <w:pPr>
        <w:numPr>
          <w:ilvl w:val="0"/>
          <w:numId w:val="17"/>
        </w:num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Approval of the remuneration of the directors on the recommendation of the Remuneration Committee.</w:t>
      </w:r>
    </w:p>
    <w:p w:rsidR="00681985" w:rsidRPr="000F1B4F" w:rsidRDefault="00681985" w:rsidP="00681985">
      <w:pPr>
        <w:numPr>
          <w:ilvl w:val="0"/>
          <w:numId w:val="17"/>
        </w:num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 xml:space="preserve">Approval of recommendations from the Nomination Committee </w:t>
      </w:r>
      <w:proofErr w:type="gramStart"/>
      <w:r w:rsidRPr="000F1B4F">
        <w:rPr>
          <w:rFonts w:ascii="Myriad Pro" w:hAnsi="Myriad Pro" w:cs="Arial"/>
          <w:sz w:val="22"/>
        </w:rPr>
        <w:t>with regard to</w:t>
      </w:r>
      <w:proofErr w:type="gramEnd"/>
      <w:r w:rsidRPr="000F1B4F">
        <w:rPr>
          <w:rFonts w:ascii="Myriad Pro" w:hAnsi="Myriad Pro" w:cs="Arial"/>
          <w:sz w:val="22"/>
        </w:rPr>
        <w:t xml:space="preserve"> the appointment and dismissal of directors.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Board membership and board committees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Board appointments and removals on the recommendation of the Nomination Committee</w:t>
      </w:r>
    </w:p>
    <w:p w:rsidR="00681985" w:rsidRPr="000F1B4F" w:rsidRDefault="00681985" w:rsidP="00681985">
      <w:pPr>
        <w:numPr>
          <w:ilvl w:val="0"/>
          <w:numId w:val="17"/>
        </w:num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Establishment of an Audit Committee, Remuneration Committee, Nomination Committee</w:t>
      </w:r>
      <w:r w:rsidR="000D176E">
        <w:rPr>
          <w:rFonts w:ascii="Myriad Pro" w:hAnsi="Myriad Pro" w:cs="Arial"/>
          <w:sz w:val="22"/>
        </w:rPr>
        <w:t>, Investment Committee</w:t>
      </w:r>
      <w:r w:rsidRPr="000F1B4F">
        <w:rPr>
          <w:rFonts w:ascii="Myriad Pro" w:hAnsi="Myriad Pro" w:cs="Arial"/>
          <w:sz w:val="22"/>
        </w:rPr>
        <w:t xml:space="preserve"> and other committees that may be required and determination of the terms of reference of such committees.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Contracts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The Investment Adviser’s Agreement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Other material contracts of the Company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Contracts of the company not in the ordinary course of business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Miscellaneous</w:t>
      </w:r>
    </w:p>
    <w:p w:rsidR="00681985" w:rsidRPr="000F1B4F" w:rsidRDefault="00681985">
      <w:pPr>
        <w:pStyle w:val="BodyText"/>
        <w:jc w:val="left"/>
        <w:rPr>
          <w:rFonts w:ascii="Myriad Pro" w:hAnsi="Myriad Pro" w:cs="Arial"/>
        </w:rPr>
      </w:pP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Prosecution, defence or settlement of litigation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 xml:space="preserve">Annual review of the effectiveness of the Company’s system of internal control 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Risk management strategy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Treasury policies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Directors’ and Officers’ liability insurance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Approval of borrowing facilities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Granting of any guarantees, warranties or indemnities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Granting of any security or charge</w:t>
      </w:r>
    </w:p>
    <w:p w:rsidR="00681985" w:rsidRPr="000F1B4F" w:rsidRDefault="00681985" w:rsidP="00681985">
      <w:pPr>
        <w:pStyle w:val="BodyText"/>
        <w:numPr>
          <w:ilvl w:val="0"/>
          <w:numId w:val="17"/>
        </w:numPr>
        <w:jc w:val="left"/>
        <w:rPr>
          <w:rFonts w:ascii="Myriad Pro" w:hAnsi="Myriad Pro" w:cs="Arial"/>
        </w:rPr>
      </w:pPr>
      <w:r w:rsidRPr="000F1B4F">
        <w:rPr>
          <w:rFonts w:ascii="Myriad Pro" w:hAnsi="Myriad Pro" w:cs="Arial"/>
        </w:rPr>
        <w:t>Appointment of professional advisers in addition to the Company’s Auditors</w:t>
      </w:r>
    </w:p>
    <w:p w:rsidR="00681985" w:rsidRPr="000F1B4F" w:rsidRDefault="00681985">
      <w:pPr>
        <w:jc w:val="center"/>
        <w:rPr>
          <w:rFonts w:ascii="Myriad Pro" w:hAnsi="Myriad Pro" w:cs="Arial"/>
          <w:sz w:val="22"/>
        </w:rPr>
      </w:pPr>
    </w:p>
    <w:p w:rsidR="00681985" w:rsidRPr="000F1B4F" w:rsidRDefault="00681985">
      <w:pPr>
        <w:spacing w:line="280" w:lineRule="exact"/>
        <w:jc w:val="both"/>
        <w:rPr>
          <w:rFonts w:ascii="Myriad Pro" w:hAnsi="Myriad Pro" w:cs="Arial"/>
          <w:sz w:val="22"/>
        </w:rPr>
      </w:pPr>
      <w:r w:rsidRPr="000F1B4F">
        <w:rPr>
          <w:rFonts w:ascii="Myriad Pro" w:hAnsi="Myriad Pro" w:cs="Arial"/>
          <w:sz w:val="22"/>
        </w:rPr>
        <w:t>All other significant issues pertinent to the Company’s development shall be resolved either by Board decision or by the decision of a committee suitably authorised by the Board.</w:t>
      </w:r>
    </w:p>
    <w:p w:rsidR="00681985" w:rsidRPr="000F1B4F" w:rsidRDefault="00681985">
      <w:pPr>
        <w:spacing w:line="280" w:lineRule="exact"/>
        <w:ind w:left="720"/>
        <w:jc w:val="both"/>
        <w:rPr>
          <w:rFonts w:ascii="Myriad Pro" w:hAnsi="Myriad Pro" w:cs="Arial"/>
          <w:sz w:val="22"/>
        </w:rPr>
      </w:pPr>
    </w:p>
    <w:p w:rsidR="00681985" w:rsidRPr="000F1B4F" w:rsidRDefault="00681985" w:rsidP="00681985">
      <w:pPr>
        <w:spacing w:line="280" w:lineRule="exact"/>
        <w:jc w:val="center"/>
        <w:rPr>
          <w:rFonts w:ascii="Myriad Pro" w:hAnsi="Myriad Pro" w:cs="Arial"/>
          <w:bCs/>
          <w:sz w:val="22"/>
        </w:rPr>
      </w:pPr>
    </w:p>
    <w:p w:rsidR="00681985" w:rsidRPr="000F1B4F" w:rsidRDefault="00681985">
      <w:pPr>
        <w:spacing w:line="280" w:lineRule="exact"/>
        <w:ind w:left="720"/>
        <w:jc w:val="both"/>
        <w:rPr>
          <w:rFonts w:ascii="Myriad Pro" w:hAnsi="Myriad Pro" w:cs="Arial"/>
          <w:sz w:val="22"/>
        </w:rPr>
      </w:pPr>
    </w:p>
    <w:sectPr w:rsidR="00681985" w:rsidRPr="000F1B4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38C"/>
    <w:multiLevelType w:val="multilevel"/>
    <w:tmpl w:val="264C95D2"/>
    <w:lvl w:ilvl="0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C24919"/>
    <w:multiLevelType w:val="hybridMultilevel"/>
    <w:tmpl w:val="021A1CAE"/>
    <w:lvl w:ilvl="0" w:tplc="33165AC4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36F48"/>
    <w:multiLevelType w:val="hybridMultilevel"/>
    <w:tmpl w:val="FD4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C5CEA"/>
    <w:multiLevelType w:val="hybridMultilevel"/>
    <w:tmpl w:val="714048A0"/>
    <w:lvl w:ilvl="0" w:tplc="7302838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A72FA"/>
    <w:multiLevelType w:val="hybridMultilevel"/>
    <w:tmpl w:val="3BE8AA1C"/>
    <w:lvl w:ilvl="0" w:tplc="C2FAA8E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B0B5E"/>
    <w:multiLevelType w:val="hybridMultilevel"/>
    <w:tmpl w:val="F9FCE1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25F58"/>
    <w:multiLevelType w:val="hybridMultilevel"/>
    <w:tmpl w:val="264C95D2"/>
    <w:lvl w:ilvl="0" w:tplc="0EECFACA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 w:tplc="6820137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135FC"/>
    <w:multiLevelType w:val="hybridMultilevel"/>
    <w:tmpl w:val="C36EF6A8"/>
    <w:lvl w:ilvl="0" w:tplc="714E2B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C3078"/>
    <w:multiLevelType w:val="singleLevel"/>
    <w:tmpl w:val="0E344E3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2"/>
        <w:szCs w:val="22"/>
      </w:rPr>
    </w:lvl>
  </w:abstractNum>
  <w:abstractNum w:abstractNumId="9" w15:restartNumberingAfterBreak="0">
    <w:nsid w:val="50867C00"/>
    <w:multiLevelType w:val="singleLevel"/>
    <w:tmpl w:val="E3B09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2EF59B7"/>
    <w:multiLevelType w:val="hybridMultilevel"/>
    <w:tmpl w:val="2F9E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06BFD"/>
    <w:multiLevelType w:val="multilevel"/>
    <w:tmpl w:val="6E845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270D9E"/>
    <w:multiLevelType w:val="hybridMultilevel"/>
    <w:tmpl w:val="F0046250"/>
    <w:lvl w:ilvl="0" w:tplc="A9B62806">
      <w:start w:val="1"/>
      <w:numFmt w:val="none"/>
      <w:lvlText w:val="(a)"/>
      <w:lvlJc w:val="left"/>
      <w:pPr>
        <w:tabs>
          <w:tab w:val="num" w:pos="720"/>
        </w:tabs>
        <w:ind w:left="1436" w:hanging="143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16020"/>
    <w:multiLevelType w:val="multilevel"/>
    <w:tmpl w:val="337EBDF0"/>
    <w:lvl w:ilvl="0">
      <w:start w:val="1"/>
      <w:numFmt w:val="none"/>
      <w:lvlText w:val="(a)"/>
      <w:lvlJc w:val="left"/>
      <w:pPr>
        <w:tabs>
          <w:tab w:val="num" w:pos="720"/>
        </w:tabs>
        <w:ind w:left="1436" w:hanging="1436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A7EE7"/>
    <w:multiLevelType w:val="hybridMultilevel"/>
    <w:tmpl w:val="A9D0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67E10"/>
    <w:multiLevelType w:val="multilevel"/>
    <w:tmpl w:val="021A1CAE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90261"/>
    <w:multiLevelType w:val="multilevel"/>
    <w:tmpl w:val="264C95D2"/>
    <w:lvl w:ilvl="0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A16FDD"/>
    <w:multiLevelType w:val="hybridMultilevel"/>
    <w:tmpl w:val="98626D86"/>
    <w:lvl w:ilvl="0" w:tplc="D08ACEB2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16"/>
  </w:num>
  <w:num w:numId="8">
    <w:abstractNumId w:val="0"/>
  </w:num>
  <w:num w:numId="9">
    <w:abstractNumId w:val="17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5"/>
    <w:rsid w:val="000D176E"/>
    <w:rsid w:val="000D1C1F"/>
    <w:rsid w:val="000F1B4F"/>
    <w:rsid w:val="003B555E"/>
    <w:rsid w:val="004A3EBA"/>
    <w:rsid w:val="00681985"/>
    <w:rsid w:val="006D6012"/>
    <w:rsid w:val="0071183F"/>
    <w:rsid w:val="00750F95"/>
    <w:rsid w:val="007617D1"/>
    <w:rsid w:val="0094789F"/>
    <w:rsid w:val="00A4685C"/>
    <w:rsid w:val="00AE5B3F"/>
    <w:rsid w:val="00B458AC"/>
    <w:rsid w:val="00C21018"/>
    <w:rsid w:val="00CB1CB4"/>
    <w:rsid w:val="00CF15D6"/>
    <w:rsid w:val="00E52827"/>
    <w:rsid w:val="00F043C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A5767-9D31-4CEE-91BF-F5C0469D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TRIVEN VCT PLC</vt:lpstr>
    </vt:vector>
  </TitlesOfParts>
  <Company>Matrix Securities Ltd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TRIVEN VCT PLC</dc:title>
  <dc:subject/>
  <dc:creator>Tina Blakemore</dc:creator>
  <cp:keywords/>
  <dc:description/>
  <cp:lastModifiedBy>Robert King</cp:lastModifiedBy>
  <cp:revision>2</cp:revision>
  <cp:lastPrinted>2013-06-21T15:11:00Z</cp:lastPrinted>
  <dcterms:created xsi:type="dcterms:W3CDTF">2018-11-08T14:26:00Z</dcterms:created>
  <dcterms:modified xsi:type="dcterms:W3CDTF">2018-11-08T14:26:00Z</dcterms:modified>
</cp:coreProperties>
</file>